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נחשב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לתערובת</w:t>
      </w:r>
      <w:r w:rsidDel="00000000" w:rsidR="00000000" w:rsidRPr="00000000">
        <w:rPr>
          <w:b w:val="1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מתניתא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קומיהון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תורמוסין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ופסיליין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קיסייא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תיפתר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והתני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בניחותא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דחזקי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דחזקיה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לאורחין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דחזקיה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תורמיסין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מחזקיה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בורר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אחד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מונחים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מונחות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'; </w:t>
      </w:r>
      <w:r w:rsidDel="00000000" w:rsidR="00000000" w:rsidRPr="00000000">
        <w:rPr>
          <w:rtl w:val="1"/>
        </w:rPr>
        <w:t xml:space="preserve">ומסיים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. )</w:t>
        <w:br w:type="textWrapping"/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b w:val="1"/>
          <w:rtl w:val="1"/>
        </w:rPr>
        <w:t xml:space="preserve">אמנם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דמאד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שניכרים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בהפרדתם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חתיכות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שמונחים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ולהקל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להשהותן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דבכה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בורר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הואיל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לאפוקי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לקמיה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ברירה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אמנם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&lt;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&gt;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',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חתיכות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קטנות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דבת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….</w:t>
      </w:r>
      <w:r w:rsidDel="00000000" w:rsidR="00000000" w:rsidRPr="00000000">
        <w:rPr>
          <w:rtl w:val="1"/>
        </w:rPr>
        <w:t xml:space="preserve">ובמהרי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גדולות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קטנות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חתיכות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שנקדחו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חתיכות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נקדחו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חתיכות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מעופשין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נאכלים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מעופשין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ומבושל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דאגוזים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ובטנים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שנשתברו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ומונחים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בקליפתן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דאורחייהו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האוכל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כפסולת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ואוכל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ובאיזה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ענין</w:t>
      </w:r>
      <w:r w:rsidDel="00000000" w:rsidR="00000000" w:rsidRPr="00000000">
        <w:rPr>
          <w:b w:val="1"/>
          <w:rtl w:val="1"/>
        </w:rPr>
        <w:t xml:space="preserve">] </w:t>
      </w:r>
      <w:r w:rsidDel="00000000" w:rsidR="00000000" w:rsidRPr="00000000">
        <w:rPr>
          <w:b w:val="1"/>
          <w:rtl w:val="1"/>
        </w:rPr>
        <w:t xml:space="preserve">שמתקן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השומר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בורר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בדברים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שאינם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גדולי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קרקע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=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חביצה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חביתא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הצרורו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לרבותא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ובורר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ממין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בורר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בכלים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הבלול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יחד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ומשתמש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וטעו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דבמלאכת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בורר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בלול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בבגדים</w:t>
      </w:r>
      <w:r w:rsidDel="00000000" w:rsidR="00000000" w:rsidRPr="00000000">
        <w:rPr>
          <w:b w:val="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שביארנו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ומזלגות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וסכינים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המזלגות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כשתלוים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נטילה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והשני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]: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והגהמ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כנהוג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ובבינונים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בלקיחת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מהבגדים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528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1369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40513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2463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