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הזורה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והמרקד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מרקד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count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three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Aren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pretty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much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concept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1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חשבינהו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וליחשב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מיפרקה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ומרקד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סידורא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סדורא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דפת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נקט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ואתא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spacing w:before="200" w:line="21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במשכן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שובט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מדקדק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אורג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דמו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דהויא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אורג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ומסיך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ותיקון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והכשר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אחת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עומדת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דזורה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לבירור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העפר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והקשין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ובורר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ליטול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הצרורות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ומרקד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ליטול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המורסן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כדפרש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ברוח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וליחשוב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וממיעוטא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עריסותיכם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לבינוניים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המעונגים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במנחות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ונקט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[</w:t>
      </w:r>
      <w:r w:rsidDel="00000000" w:rsidR="00000000" w:rsidRPr="00000000">
        <w:rPr>
          <w:b w:val="1"/>
          <w:rtl w:val="1"/>
        </w:rPr>
        <w:t xml:space="preserve">ואמר</w:t>
      </w:r>
      <w:r w:rsidDel="00000000" w:rsidR="00000000" w:rsidRPr="00000000">
        <w:rPr>
          <w:b w:val="1"/>
          <w:rtl w:val="1"/>
        </w:rPr>
        <w:t xml:space="preserve">]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וממילא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אורחייהו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מקפד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אכתישה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אורחייהו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למקפד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אכתישה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דסממנין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מיוחס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שלשתן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What’s the dividing line between them?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הזורה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המרקד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בנפה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ומרקד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בצרורות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בקמח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וניפח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נוטל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ומשליכ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מרקד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שמטיל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טיסני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b w:val="1"/>
          <w:rtl w:val="1"/>
        </w:rPr>
        <w:t xml:space="preserve">הזורה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המרקד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והמורסן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הקמח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מעשיהם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שוים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בענין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בתבן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בצרורות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בסובין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זורה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39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הזורה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חילוקים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ועבשו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מקליפתו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נתלשו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בקליפתן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וניפח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כזורה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b w:val="1"/>
          <w:rtl w:val="1"/>
        </w:rPr>
        <w:t xml:space="preserve">הזורה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שנקביה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והמורסן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רקק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והפריחתו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זורה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רקק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והפריחתו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 ….(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דפרכי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ולהוי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ופצעו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=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והפריחתו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מפזר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מפזר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בתשו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מדהשמיטוהו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דהעברתו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