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מלאכת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הוצאה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(Indented Mekorot are generally those that you should ideally see inside, and not straight off the daf mekorot. But I have included on the daf for use in shiur and cases of temporal urgency)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left"/>
        <w:rPr/>
      </w:pP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  <w:t xml:space="preserve">Our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מסכתה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starts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/. </w:t>
      </w:r>
      <w:r w:rsidDel="00000000" w:rsidR="00000000" w:rsidRPr="00000000">
        <w:rPr>
          <w:rtl w:val="1"/>
        </w:rPr>
        <w:t xml:space="preserve">יציאות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והכניס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והכניס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 xml:space="preserve">However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appears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last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0"/>
        </w:rPr>
        <w:t xml:space="preserve">. (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sense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0"/>
        </w:rPr>
        <w:t xml:space="preserve">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F">
      <w:pPr>
        <w:bidi w:val="1"/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הגוזז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והמנפצו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והצובעו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והמיסך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והפוצע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השוחטו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והמפשיטו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והמוחקו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והמחתכו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המוציא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לרשות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רעד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קב</w:t>
      </w:r>
      <w:r w:rsidDel="00000000" w:rsidR="00000000" w:rsidRPr="00000000">
        <w:rPr>
          <w:rtl w:val="1"/>
        </w:rPr>
        <w:t xml:space="preserve">]- ...</w:t>
      </w:r>
      <w:r w:rsidDel="00000000" w:rsidR="00000000" w:rsidRPr="00000000">
        <w:rPr>
          <w:rtl w:val="1"/>
        </w:rPr>
        <w:t xml:space="preserve">המכבה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יציאות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קוד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  <w:br w:type="textWrapping"/>
      </w:r>
      <w:r w:rsidDel="00000000" w:rsidR="00000000" w:rsidRPr="00000000">
        <w:rPr>
          <w:rtl w:val="1"/>
        </w:rPr>
        <w:t xml:space="preserve">ותירץ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לאקדומי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שעשאוה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  <w:br w:type="textWrapping"/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הרואה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  <w:br w:type="textWrapping"/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לכובס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שאפרש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שהצריכו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שיתבאר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</w:p>
    <w:p w:rsidR="00000000" w:rsidDel="00000000" w:rsidP="00000000" w:rsidRDefault="00000000" w:rsidRPr="00000000" w14:paraId="0000001E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F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דאיצטריך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לאשמעי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גרועה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מוציא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מוציא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גמרינן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דעני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מבעה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מויכלא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דעירובין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תולדות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דאבות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חיישינן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במשכן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בלבד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ובתולדות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שיהא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במשכן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בהזורק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גזוזטראות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ודחיק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לאשכחינהו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טומנין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דהכנסה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במשכן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לקמן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בהזורק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צו</w:t>
      </w:r>
      <w:r w:rsidDel="00000000" w:rsidR="00000000" w:rsidRPr="00000000">
        <w:rPr>
          <w:u w:val="single"/>
          <w:rtl w:val="1"/>
        </w:rPr>
        <w:t xml:space="preserve">:) </w:t>
      </w:r>
      <w:r w:rsidDel="00000000" w:rsidR="00000000" w:rsidRPr="00000000">
        <w:rPr>
          <w:u w:val="single"/>
          <w:rtl w:val="1"/>
        </w:rPr>
        <w:t xml:space="preserve">לפרושי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דסברא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אפוקי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עיולי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דאיצטריך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סברא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להכנסה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דבעה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במשכן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קרשים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היינו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הכנסה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דעני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דמסתמא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בקרקע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עומדים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דבזריקה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דשבועות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דפרכינן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ותירץ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גרועה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והוה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אמינא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תולדה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לפיכך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הוצרך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לכוללה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יציאות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פרש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בפנים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לאותו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העומד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בפנים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דסליק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בפנים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לחפץ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נכנס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בפנים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והיינו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הכנסה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ואחרים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פירשו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שתים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בפנים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דבעה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לחיוב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לפטור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ותולדותיהן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u w:val="single"/>
          <w:rtl w:val="1"/>
        </w:rPr>
        <w:t xml:space="preserve">ואיכא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דקשיא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הוצאות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בשתים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ידיעות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הטומאה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דאסיקנא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ובתוס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רבותינו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הצרפתים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אותם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חכמים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בשתים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דפלגינהו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רחמנא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בשתים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דמתרי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נפקא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לאזהרת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לאזהרת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צריכי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סד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חידוש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לישא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גדול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הוציא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כגרוגרת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משא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בשאר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חלוקות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ברשויות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מחמת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עצמן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הואיל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וחידוש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חדושה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בלבד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והלכות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עקורות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למדות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מזו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לפיכך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פירשן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הכתוב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לשתיהן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ומיהו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נמנית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בשתים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הנשארות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למיגמרה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לפורטה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שהיתה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במשכן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ואשכחן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דקפיד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רחמנא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ואזהר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רחמנא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הדרא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המלאכות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במשכן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יצתה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מיתת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הכתוב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להביאה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ידיעות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ובידיעתה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וכ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להתחייב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הוצאת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הכנסת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ולפטור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הוצאת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הכנסת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שדרך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האדם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למשוך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לעצמו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החשובה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אצלם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הקושיא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מויכלא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מויכלא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לאזהרת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מויכלא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שהזכרנו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לאזהרת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הקונדריסין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דמכילתין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לכשתחשך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שסמכו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לחשיכה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תוספות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רמב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ן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מהות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האיסור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העברת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הרשות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משא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shlepping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מוקד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האיסור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Change of the location of the Object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 of the Person- Movement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יסוד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המלאכה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Transportation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Shlepping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מלאכה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גרוע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not rh”y to rh”y as well?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not be chayav for shlepping heavy objects within a rh”y? </w:t>
            </w:r>
          </w:p>
        </w:tc>
      </w:tr>
    </w:tbl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