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אמירה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לנוכרי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מצווה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דאמירה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גופה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לשבות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דלית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דטלטול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דכי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בנוסחאי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לצבותיה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עילויה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Specifically Amirah liNochri biShvut biMakom mitzvah, or any Shvut diShvut (two dirabanans)?</w:t>
      </w:r>
    </w:p>
    <w:p w:rsidR="00000000" w:rsidDel="00000000" w:rsidP="00000000" w:rsidRDefault="00000000" w:rsidRPr="00000000" w14:paraId="0000000A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ורבינו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בנוסחאות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דשבות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שיביאנו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מדברי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סופרים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תהיה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קלה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בעיניהן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ויבואו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בעצמן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']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מחזירין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/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'/)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צינור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קשקשין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ממעכן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ברגלו</w:t>
      </w:r>
      <w:r w:rsidDel="00000000" w:rsidR="00000000" w:rsidRPr="00000000">
        <w:rPr>
          <w:sz w:val="24"/>
          <w:szCs w:val="24"/>
          <w:rtl w:val="1"/>
        </w:rPr>
        <w:t xml:space="preserve">.+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ומצטער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שצא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באיסורא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נידון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בעצמו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לבד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ומצורע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למיגזר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למיעבד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איסורא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בשאר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מקומות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גזרו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דאתי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לאחלופי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בדאורייתא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עירבו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שתפי</w:t>
      </w:r>
      <w:r w:rsidDel="00000000" w:rsidR="00000000" w:rsidRPr="00000000">
        <w:rPr>
          <w:sz w:val="24"/>
          <w:szCs w:val="24"/>
          <w:rtl w:val="1"/>
        </w:rPr>
        <w:t xml:space="preserve">&gt;,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דאתי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[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]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חלופי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ברשות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הרבים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bidi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דשבות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מצווה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סח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ינוקא</w:t>
      </w:r>
      <w:r w:rsidDel="00000000" w:rsidR="00000000" w:rsidRPr="00000000">
        <w:rPr>
          <w:sz w:val="24"/>
          <w:szCs w:val="24"/>
          <w:rtl w:val="1"/>
        </w:rPr>
        <w:t xml:space="preserve">….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דאישתפיך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לחמם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דדוקא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מילה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גופה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התירו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בהלכות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גדולות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משמע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איסורא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לצורך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...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מתירין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גבי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מילה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שניתנה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לידחות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אצלה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בשאר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דוחין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דמלאכה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מזו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דביצה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אמימר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הספרדי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ולולב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תשט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המתמיהין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וטועין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שאמרתי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הנעשין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אלפסי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שמעתתא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דנוסחא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דעירובין</w:t>
      </w:r>
      <w:r w:rsidDel="00000000" w:rsidR="00000000" w:rsidRPr="00000000">
        <w:rPr>
          <w:sz w:val="24"/>
          <w:szCs w:val="24"/>
          <w:rtl w:val="1"/>
        </w:rPr>
        <w:t xml:space="preserve">….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בערכאות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ולעתים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מעמידין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ואזמל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למה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דווקא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קניית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קרקע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בארץ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bidi w:val="1"/>
        <w:ind w:right="10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ירושלמי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וילנא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2F">
      <w:pPr>
        <w:bidi w:val="1"/>
        <w:ind w:right="10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לארכיים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נכבשה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וכתיב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תסובו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וכתיב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רדתה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</w:p>
    <w:p w:rsidR="00000000" w:rsidDel="00000000" w:rsidP="00000000" w:rsidRDefault="00000000" w:rsidRPr="00000000" w14:paraId="00000030">
      <w:pPr>
        <w:bidi w:val="1"/>
        <w:ind w:right="10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bidi w:val="1"/>
        <w:ind w:right="10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ind w:right="10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3">
      <w:pPr>
        <w:bidi w:val="1"/>
        <w:ind w:right="10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קדושה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שוקלין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שבות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אופציה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שלישית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ומורי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פירוש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שנתחדש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בגופו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עשיית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ובישול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הסנדלר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ובישול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ואוכלין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מיתסרי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לרבי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יוחנן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הסנדלר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בהבאתן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נתחדשה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ולפיכך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החמירו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במקום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דקא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מתקן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ומחדש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בגוף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עובדין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בגופו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כעובדין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החמירו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באמירתו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שהגירסא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בנוסחאות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מטומאה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לטהרה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הסנדלר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'),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נאסר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נמצאת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איזמל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בעירובין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דההוא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דאשתפוך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, [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תינוק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דלעיל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בתינוק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שהוצרכו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ונשפכו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והביאו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(*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מביאין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לתינוק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שצרכי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) [* </w:t>
      </w:r>
      <w:r w:rsidDel="00000000" w:rsidR="00000000" w:rsidRPr="00000000">
        <w:rPr>
          <w:sz w:val="24"/>
          <w:szCs w:val="24"/>
          <w:rtl w:val="1"/>
        </w:rPr>
        <w:t xml:space="preserve">המת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בקונטרס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הראייות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