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דאשתפיך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חמימיה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נייתו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ביתאי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ערבינן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אשיתוף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שתפינן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נימרו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כהנא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בדאורייתא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מותבינן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בדרבנן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עבדינן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דתניא</w:t>
      </w:r>
      <w:r w:rsidDel="00000000" w:rsidR="00000000" w:rsidRPr="00000000">
        <w:rPr>
          <w:sz w:val="24"/>
          <w:szCs w:val="24"/>
          <w:rtl w:val="1"/>
        </w:rPr>
        <w:t xml:space="preserve">], </w:t>
      </w:r>
      <w:r w:rsidDel="00000000" w:rsidR="00000000" w:rsidRPr="00000000">
        <w:rPr>
          <w:sz w:val="24"/>
          <w:szCs w:val="24"/>
          <w:rtl w:val="1"/>
        </w:rPr>
        <w:t xml:space="preserve">הזאה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דאישתפוך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חמימיה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נישיילה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לאימיה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משרשיא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תמרי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תונבא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לשחוט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0B">
      <w:pPr>
        <w:bidi w:val="1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{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מטהרין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לטהרו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.}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בסוריא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בפרוארי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ירושלים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הילכתא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שכותבין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אונו</w:t>
      </w:r>
      <w:r w:rsidDel="00000000" w:rsidR="00000000" w:rsidRPr="00000000">
        <w:rPr>
          <w:sz w:val="24"/>
          <w:szCs w:val="24"/>
          <w:rtl w:val="1"/>
        </w:rPr>
        <w:t xml:space="preserve"> {</w:t>
      </w:r>
      <w:r w:rsidDel="00000000" w:rsidR="00000000" w:rsidRPr="00000000">
        <w:rPr>
          <w:sz w:val="24"/>
          <w:szCs w:val="24"/>
          <w:rtl w:val="1"/>
        </w:rPr>
        <w:t xml:space="preserve">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</w:t>
      </w:r>
      <w:r w:rsidDel="00000000" w:rsidR="00000000" w:rsidRPr="00000000">
        <w:rPr>
          <w:sz w:val="24"/>
          <w:szCs w:val="24"/>
          <w:rtl w:val="1"/>
        </w:rPr>
        <w:t xml:space="preserve">}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ועושה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והביאוהו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חצירות</w:t>
      </w:r>
      <w:r w:rsidDel="00000000" w:rsidR="00000000" w:rsidRPr="00000000">
        <w:rPr>
          <w:sz w:val="24"/>
          <w:szCs w:val="24"/>
          <w:rtl w:val="1"/>
        </w:rPr>
        <w:t xml:space="preserve">] {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}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מתקיף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אדרבה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דשרי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וקרפיפות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והתניא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כשם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מביאין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מביאין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גגות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קרפיפות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חצירות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ומחלוקתו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קרפיפות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חצירות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אשכחן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בהלכות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גדולות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ואיגניב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לצבותיה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לאיתויי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איזמל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אחרינ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כההוא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ינוקא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דאשתפיך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חמימיה</w:t>
      </w:r>
      <w:r w:rsidDel="00000000" w:rsidR="00000000" w:rsidRPr="00000000">
        <w:rPr>
          <w:sz w:val="24"/>
          <w:szCs w:val="24"/>
          <w:rtl w:val="1"/>
        </w:rPr>
        <w:t xml:space="preserve"> ….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דהזאה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דהזאה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בידים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דדיבורא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בעלמא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…</w:t>
        <w:br w:type="textWrapping"/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פירושיה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דהזאה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דהזאה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דאמירה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גופה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לשבות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דלית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דטלטול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בנוסחאי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לצבותיה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עילויה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אמריה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לנוכרי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באיסור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לצורך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מצווה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should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לנוכרי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purpose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מצווה</w:t>
      </w:r>
      <w:r w:rsidDel="00000000" w:rsidR="00000000" w:rsidRPr="00000000">
        <w:rPr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שאילתות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דאשתפוך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אשתוף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ולייתיה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לאותוביה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לאותוביה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הכא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דבור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בעלמא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דכתיב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ודבר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דבור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הרהור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ומשרא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וכבדתו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וכבדתו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מלבושך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כמלבושך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מכבדותי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דרכיך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כהילוכך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חפצך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חפציך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חפצי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מותרין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דבור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הרהור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שצא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תשובת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אליעזר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ממץ</w:t>
      </w:r>
      <w:r w:rsidDel="00000000" w:rsidR="00000000" w:rsidRPr="00000000">
        <w:rPr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היראים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-  ....</w:t>
      </w:r>
      <w:r w:rsidDel="00000000" w:rsidR="00000000" w:rsidRPr="00000000">
        <w:rPr>
          <w:sz w:val="24"/>
          <w:szCs w:val="24"/>
          <w:rtl w:val="1"/>
        </w:rPr>
        <w:t xml:space="preserve">וטעמא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דקצץ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לרווחו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ולהנאתו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וטעמא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כשלוחו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מדרבנן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נהנה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ממנו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שנה</w:t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בחסימה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התבואה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&gt; </w:t>
      </w:r>
      <w:r w:rsidDel="00000000" w:rsidR="00000000" w:rsidRPr="00000000">
        <w:rPr>
          <w:sz w:val="24"/>
          <w:szCs w:val="24"/>
          <w:rtl w:val="1"/>
        </w:rPr>
        <w:t xml:space="preserve">מרבה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התבואה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נחסמת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....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ולהנאתו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דקציצה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שהפסיד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דאשתפוך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&lt;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אאומר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מלאכתך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&gt;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יאכילנו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לתאוה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ואחוה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להכריע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אקיימה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העשייה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ודוקא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הרשות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ובדאורייתא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למצוא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תקנה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לעשותו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ולתלוש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המחובר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&gt;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ביא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, [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חפצך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ובלבד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ובשליחות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[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]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באיסורא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נידון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בעצמו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לבד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ומצורע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למיגזר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למיעבד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איסורא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בשאר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מקומות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גזרו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דאתי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לאחלופי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בדאורייתא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עירבו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שתפי</w:t>
      </w:r>
      <w:r w:rsidDel="00000000" w:rsidR="00000000" w:rsidRPr="00000000">
        <w:rPr>
          <w:sz w:val="24"/>
          <w:szCs w:val="24"/>
          <w:rtl w:val="1"/>
        </w:rPr>
        <w:t xml:space="preserve">&gt;,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דאתי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[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]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חלופי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ברשות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הרבים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מילה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לחודה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לצבותי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ואיתויי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איפגום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ולאחמומי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ולאברי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ינוקא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כפסקא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דרבוותאי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דהדלקת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אכילה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מדליקין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כותבין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ואסיקנא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מלוניל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בהזאה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בטלטולו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השפופרת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עביד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באמירתו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דיבור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בעלמא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ולעולם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איסורא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009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