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שאילתות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דאשתפוך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אשתוף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ולייתיה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לאותוביה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תיובתא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תיובתא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לאותוביה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הכא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דבור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בעלמא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דכתיב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ודבר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דבור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הרהור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ומשרא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bidi w:val="1"/>
        <w:ind w:right="5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bidi w:val="1"/>
        <w:ind w:right="5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ראבי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שצא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תשובת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ממץ</w:t>
      </w:r>
      <w:r w:rsidDel="00000000" w:rsidR="00000000" w:rsidRPr="00000000">
        <w:rPr>
          <w:sz w:val="24"/>
          <w:szCs w:val="24"/>
          <w:rtl w:val="1"/>
        </w:rPr>
        <w:t xml:space="preserve">-  ....</w:t>
      </w:r>
      <w:r w:rsidDel="00000000" w:rsidR="00000000" w:rsidRPr="00000000">
        <w:rPr>
          <w:sz w:val="24"/>
          <w:szCs w:val="24"/>
          <w:rtl w:val="1"/>
        </w:rPr>
        <w:t xml:space="preserve">וטעמא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דקצץ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הישראל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לרווחו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ולהנאתו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וטעמא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שנראה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כשלוחו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מדרבנן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נהנה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ממנו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שנה</w:t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]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בחסימה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התבואה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&lt;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&gt; </w:t>
      </w:r>
      <w:r w:rsidDel="00000000" w:rsidR="00000000" w:rsidRPr="00000000">
        <w:rPr>
          <w:sz w:val="24"/>
          <w:szCs w:val="24"/>
          <w:rtl w:val="1"/>
        </w:rPr>
        <w:t xml:space="preserve">מרבה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התבואה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נחסמת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....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ולהנאתו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דקציצה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שמותרת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שהפסיד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דאשתפוך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הנאת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&lt;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אאומר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מלאכתך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שכן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&gt;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יאכילנו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יוצרינו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לתאוה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ואחוה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ראבי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להכריע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שלישית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ויתום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הגאון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אקיימה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העשייה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ודוקא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בדרבנן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הרשות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ובדאורייתא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אמרינן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למצוא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תקנה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לעשותו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ולתלוש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המחובר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&lt;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&gt;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]</w:t>
      </w:r>
      <w:r w:rsidDel="00000000" w:rsidR="00000000" w:rsidRPr="00000000">
        <w:rPr>
          <w:sz w:val="24"/>
          <w:szCs w:val="24"/>
          <w:rtl w:val="1"/>
        </w:rPr>
        <w:t xml:space="preserve">ביא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, [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]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לישראל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חפצך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ובלבד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הבאה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ובשליחות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[</w:t>
      </w:r>
      <w:r w:rsidDel="00000000" w:rsidR="00000000" w:rsidRPr="00000000">
        <w:rPr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]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באיסורא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נידון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כאלו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בעצמו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דרבנן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לבד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ומצורע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העמידו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למיגזר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כולי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ליתי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למיעבד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איסורא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בשאר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מקומות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גזרו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דאתי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לאחלופי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בדאורייתא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עירבו</w:t>
      </w:r>
      <w:r w:rsidDel="00000000" w:rsidR="00000000" w:rsidRPr="00000000">
        <w:rPr>
          <w:sz w:val="24"/>
          <w:szCs w:val="24"/>
          <w:rtl w:val="1"/>
        </w:rPr>
        <w:t xml:space="preserve"> &lt;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שתפי</w:t>
      </w:r>
      <w:r w:rsidDel="00000000" w:rsidR="00000000" w:rsidRPr="00000000">
        <w:rPr>
          <w:sz w:val="24"/>
          <w:szCs w:val="24"/>
          <w:rtl w:val="1"/>
        </w:rPr>
        <w:t xml:space="preserve">&gt;,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דאתי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[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]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חלופי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ברשות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הרבים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ואפילו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מצוה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התם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היקף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הדין</w:t>
      </w:r>
      <w:r w:rsidDel="00000000" w:rsidR="00000000" w:rsidRPr="00000000">
        <w:rPr>
          <w:b w:val="1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אמירה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לנכרי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דרבנן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באמירתו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קרחה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חפצך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דיבור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הרהור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ind w:right="5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B">
      <w:pPr>
        <w:bidi w:val="1"/>
        <w:ind w:right="5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באיסור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דרבנן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שואל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סז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דדווקא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לחבירו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לנכרי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[</w:t>
      </w:r>
      <w:r w:rsidDel="00000000" w:rsidR="00000000" w:rsidRPr="00000000">
        <w:rPr>
          <w:b w:val="1"/>
          <w:rtl w:val="1"/>
        </w:rPr>
        <w:t xml:space="preserve">עושה</w:t>
      </w:r>
      <w:r w:rsidDel="00000000" w:rsidR="00000000" w:rsidRPr="00000000">
        <w:rPr>
          <w:b w:val="1"/>
          <w:rtl w:val="1"/>
        </w:rPr>
        <w:t xml:space="preserve">] </w:t>
      </w:r>
      <w:r w:rsidDel="00000000" w:rsidR="00000000" w:rsidRPr="00000000">
        <w:rPr>
          <w:b w:val="1"/>
          <w:rtl w:val="1"/>
        </w:rPr>
        <w:t xml:space="preserve">לדעת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אותה</w:t>
      </w:r>
      <w:r w:rsidDel="00000000" w:rsidR="00000000" w:rsidRPr="00000000">
        <w:rPr>
          <w:b w:val="1"/>
          <w:rtl w:val="1"/>
        </w:rPr>
        <w:t xml:space="preserve"> [</w:t>
      </w:r>
      <w:r w:rsidDel="00000000" w:rsidR="00000000" w:rsidRPr="00000000">
        <w:rPr>
          <w:b w:val="1"/>
          <w:rtl w:val="1"/>
        </w:rPr>
        <w:t xml:space="preserve">אמירה</w:t>
      </w:r>
      <w:r w:rsidDel="00000000" w:rsidR="00000000" w:rsidRPr="00000000">
        <w:rPr>
          <w:b w:val="1"/>
          <w:rtl w:val="1"/>
        </w:rPr>
        <w:t xml:space="preserve">]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1"/>
        </w:rPr>
        <w:t xml:space="preserve">ואינו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דדבור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והרהור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מיוחס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בניחותא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לכותי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בתמיהה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לכותי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בשכירות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לכותי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מיחוור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דאשתפוך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שלפניה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והשכירות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למדנוה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נראה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לשיטתם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יעשנו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בעצמו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דשבות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אותה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בתמיהה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שבות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ולשיטה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לשכור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לצורך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מחר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הארכנו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ופירשוה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ולהשמיענו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לכשתחשך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לפעולתו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הרהור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הרהור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חפץ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מתקיף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דאסיר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דחידוש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קמל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דאפילו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גוונא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בלאו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מלאכה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גמורה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דהיינו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לשכור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פועלים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דסד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גזרו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דוקא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מלאכה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כיבוי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חפצך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קמל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0"/>
        </w:rPr>
        <w:t xml:space="preserve"> )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אמריה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שבת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מקודם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השבת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סופרים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ויבואו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תבואתך</w:t>
      </w:r>
      <w:r w:rsidDel="00000000" w:rsidR="00000000" w:rsidRPr="00000000">
        <w:rPr>
          <w:sz w:val="24"/>
          <w:szCs w:val="24"/>
          <w:rtl w:val="1"/>
        </w:rPr>
        <w:t xml:space="preserve">.-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בידים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במאמרו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הנבילה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בחסימה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במאמרו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מזונותיו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סקילה</w:t>
      </w:r>
      <w:r w:rsidDel="00000000" w:rsidR="00000000" w:rsidRPr="00000000">
        <w:rPr>
          <w:sz w:val="24"/>
          <w:szCs w:val="24"/>
          <w:rtl w:val="1"/>
        </w:rPr>
        <w:t xml:space="preserve">.-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פסק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סעדיה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גאון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לאדם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הילך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וקנה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וכך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קחזינן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החסימה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סקילה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ראייה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מכאן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המעשה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בפרויקט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פד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ואמירה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לעכו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מע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שיעשה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העכו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איני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יודע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לאו</w:t>
      </w:r>
      <w:r w:rsidDel="00000000" w:rsidR="00000000" w:rsidRPr="00000000">
        <w:rPr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טעמא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יביא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עצמו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ובע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למיגזר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דילמא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יצחק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בספר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התרומה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לעכו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בערב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לעבדו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לשפחתו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הדלקת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הנר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שעברה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שנראה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הערמה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הבאה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דכשידליק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רמיזה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רמיזה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בשבת</w:t>
      </w:r>
    </w:p>
    <w:p w:rsidR="00000000" w:rsidDel="00000000" w:rsidP="00000000" w:rsidRDefault="00000000" w:rsidRPr="00000000" w14:paraId="0000004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4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במוצאי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פרסום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והביאו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למוצאי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שיעשו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יציאת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שנקבע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ידענו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בשביל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שיהנה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לאחר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אסרנו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הישראלי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יציאת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חששנו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שמא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הישראלי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רמז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לגוי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שימצאהו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ירמוז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להמתין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להרחיק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ind w:right="10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בפרויקט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פד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45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וכשם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לעכו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רמיזה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לעכו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4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רמיזה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שבת</w:t>
      </w:r>
    </w:p>
    <w:p w:rsidR="00000000" w:rsidDel="00000000" w:rsidP="00000000" w:rsidRDefault="00000000" w:rsidRPr="00000000" w14:paraId="0000004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סה</w:t>
      </w:r>
    </w:p>
    <w:p w:rsidR="00000000" w:rsidDel="00000000" w:rsidP="00000000" w:rsidRDefault="00000000" w:rsidRPr="00000000" w14:paraId="0000004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מערב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שמתירין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]</w:t>
      </w:r>
      <w:r w:rsidDel="00000000" w:rsidR="00000000" w:rsidRPr="00000000">
        <w:rPr>
          <w:sz w:val="24"/>
          <w:szCs w:val="24"/>
          <w:rtl w:val="1"/>
        </w:rPr>
        <w:t xml:space="preserve">שהגוי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רכב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[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בחול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]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מדוע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שעברה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הבאה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סימני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דלמען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מחוסרי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כפרה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כריתות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), (</w:t>
      </w:r>
      <w:r w:rsidDel="00000000" w:rsidR="00000000" w:rsidRPr="00000000">
        <w:rPr>
          <w:sz w:val="24"/>
          <w:szCs w:val="24"/>
          <w:rtl w:val="1"/>
        </w:rPr>
        <w:t xml:space="preserve">סה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רכב</w:t>
      </w:r>
      <w:r w:rsidDel="00000000" w:rsidR="00000000" w:rsidRPr="00000000">
        <w:rPr>
          <w:sz w:val="24"/>
          <w:szCs w:val="24"/>
          <w:rtl w:val="1"/>
        </w:rPr>
        <w:t xml:space="preserve">):</w:t>
      </w:r>
    </w:p>
    <w:p w:rsidR="00000000" w:rsidDel="00000000" w:rsidP="00000000" w:rsidRDefault="00000000" w:rsidRPr="00000000" w14:paraId="0000004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</w:t>
      </w:r>
    </w:p>
    <w:p w:rsidR="00000000" w:rsidDel="00000000" w:rsidP="00000000" w:rsidRDefault="00000000" w:rsidRPr="00000000" w14:paraId="0000005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קודם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לעשותו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בספר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המצות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התיר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שמבין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מתוך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שרצונו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שיעשנו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הבאה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התרומה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ומסתברא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קצת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לאיסור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רמיזה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לצורך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שבת</w:t>
      </w:r>
    </w:p>
    <w:p w:rsidR="00000000" w:rsidDel="00000000" w:rsidP="00000000" w:rsidRDefault="00000000" w:rsidRPr="00000000" w14:paraId="0000005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5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במוצאי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פרסום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והביאו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למוצאי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שיעשו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יציאת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שנקבע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ידענו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בשביל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שיהנה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לאחר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אסרנו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הישראלי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יציאת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חששנו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שמא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הישראלי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רמז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לגוי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שימצאהו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ירמוז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להמתין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להרחיק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8">
      <w:pPr>
        <w:bidi w:val="1"/>
        <w:ind w:right="5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בפרויקט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פד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5B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וכשם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לעכו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רמיזה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לעכו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כדפרישית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בדליקה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מפסיד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לכשתחשך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בפעולתו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התם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רמיזה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לצורך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מוצאי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רמיזה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לעכו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ודאי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אסיר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C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ואמירה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לעכו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מע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העכו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יודע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טעמא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יביא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עצמו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ובע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למיגזר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דילמא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יצחק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בספר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התרומה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לעכו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בערב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לעבדו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לשפחתו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הדלקת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הנר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שעברה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שנראה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הערמה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הבאה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דכשידליק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אמריה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לאמירה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&amp;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אמירה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לאמריה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לאחר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שבת</w:t>
      </w:r>
    </w:p>
    <w:p w:rsidR="00000000" w:rsidDel="00000000" w:rsidP="00000000" w:rsidRDefault="00000000" w:rsidRPr="00000000" w14:paraId="0000006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6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חפצך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וכדפי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חשבנותיו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סקילה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דתשבות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סקילה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כהדלקת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ותלישת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ומלאכתו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לאוסרם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ומלאכתו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דתשבות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חפצך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הגאון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הגרשוני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בתשו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הגאון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דודבר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דדברי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נביא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אמצוא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חפצך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לשכור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פועלים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וכדומה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עבודת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עובדא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דחול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הדבור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מדאוריי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לשכור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פועלים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הדיבור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בעצמו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להדליק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וכדומה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דהמלאכה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עצמה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חמורה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בסקילה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איננו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בכלל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מדרבנן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ודבריו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מוכרחים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דשמעתין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מובנים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בספר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יהושע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הקשה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לרש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ורוב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דס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שליחות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להחמיר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לאיזה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צורך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תיפוק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שלוחו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כמותו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לענין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יפה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מאיר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דלענין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למען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ינוח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שלוחו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כמותו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דגופו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נייח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שלוחו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לולב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עבודת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שלוחו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כוונת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שיהי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מטעם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שלוחו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כמותו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דחכמים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המלאכה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דבעלמא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שלוחו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כמותו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לחומרא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גזרו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חכמים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מלאכת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לדעת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. (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סרוס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תיפוק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והגאונים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בדבריהם</w:t>
      </w:r>
      <w:r w:rsidDel="00000000" w:rsidR="00000000" w:rsidRPr="00000000">
        <w:rPr>
          <w:sz w:val="24"/>
          <w:szCs w:val="24"/>
          <w:rtl w:val="1"/>
        </w:rPr>
        <w:t xml:space="preserve">....)</w:t>
      </w:r>
    </w:p>
    <w:p w:rsidR="00000000" w:rsidDel="00000000" w:rsidP="00000000" w:rsidRDefault="00000000" w:rsidRPr="00000000" w14:paraId="00000068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ונחזור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לדברי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הגאון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הנ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שמסופק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ואכתי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יועיל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עכ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האחרון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עושה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קוצץ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הספק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להדליק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למחר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לספוקי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איפשטא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</w:t>
      </w:r>
    </w:p>
    <w:p w:rsidR="00000000" w:rsidDel="00000000" w:rsidP="00000000" w:rsidRDefault="00000000" w:rsidRPr="00000000" w14:paraId="0000006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נחשב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לשליחות</w:t>
      </w:r>
    </w:p>
    <w:p w:rsidR="00000000" w:rsidDel="00000000" w:rsidP="00000000" w:rsidRDefault="00000000" w:rsidRPr="00000000" w14:paraId="0000007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תקכו</w:t>
      </w:r>
    </w:p>
    <w:p w:rsidR="00000000" w:rsidDel="00000000" w:rsidP="00000000" w:rsidRDefault="00000000" w:rsidRPr="00000000" w14:paraId="0000007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שנפרץ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וועכסלין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ופראכטין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מוקצה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דפרהסיא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וידועים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ויקרא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].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אאמין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מתלמידיו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'] </w:t>
      </w:r>
      <w:r w:rsidDel="00000000" w:rsidR="00000000" w:rsidRPr="00000000">
        <w:rPr>
          <w:sz w:val="24"/>
          <w:szCs w:val="24"/>
          <w:rtl w:val="1"/>
        </w:rPr>
        <w:t xml:space="preserve">וראוי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ויען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הוועכסיל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מוכנים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מהרייענט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לשאול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יפרע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שהמעות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מונחים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ירצה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המעות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הוועכסיל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מוקצה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ומתן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דכהאי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גוונא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שליח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7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דגבי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תרומה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נתינת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חשוב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שליחות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בקידושין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במפקיד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להשתמש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שלוחו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ומדקדוק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הרמב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השתמש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להשתמש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נראה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כהאי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גוונא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שלוחו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צוהו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שהתיר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להשתמש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לתרומה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וקידושין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דהקנאה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והרשאה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ציווי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ושחוט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7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האמור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דווקא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במידי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דהקנאה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מועיל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נתינת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במצוה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צריך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המצוה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שתלה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ברצונו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בתרומה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מעתה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כשם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שבמצוה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נתינת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בעבירה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המשלח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נתינת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רשות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המפקיד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להשתמש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בפירוש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7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הנה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נידון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דידן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תלוי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במחלוקת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ואינך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פוסקים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דלרמב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נתינת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שליח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ממש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להחשב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המשלח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חשיב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שלוחו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פוסקים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מהרייענט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פראטעסט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וכשהראה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ולקח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מהרייענט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בהפסד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סניף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האומנם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הגהות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לחומרא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מלאדי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ורס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']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: )</w:t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לנוכרים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bidiVisual w:val="1"/>
        <w:tblW w:w="9135.0" w:type="dxa"/>
        <w:jc w:val="left"/>
        <w:tblInd w:w="80.0" w:type="pct"/>
        <w:tblBorders>
          <w:top w:color="a3a3a3" w:space="0" w:sz="8" w:val="single"/>
          <w:left w:color="a3a3a3" w:space="0" w:sz="8" w:val="single"/>
          <w:bottom w:color="a3a3a3" w:space="0" w:sz="8" w:val="single"/>
          <w:right w:color="a3a3a3" w:space="0" w:sz="8" w:val="single"/>
          <w:insideH w:color="a3a3a3" w:space="0" w:sz="8" w:val="single"/>
          <w:insideV w:color="a3a3a3" w:space="0" w:sz="8" w:val="single"/>
        </w:tblBorders>
        <w:tblLayout w:type="fixed"/>
        <w:tblLook w:val="0600"/>
      </w:tblPr>
      <w:tblGrid>
        <w:gridCol w:w="1140"/>
        <w:gridCol w:w="2175"/>
        <w:gridCol w:w="2445"/>
        <w:gridCol w:w="3375"/>
        <w:tblGridChange w:id="0">
          <w:tblGrid>
            <w:gridCol w:w="1140"/>
            <w:gridCol w:w="2175"/>
            <w:gridCol w:w="2445"/>
            <w:gridCol w:w="3375"/>
          </w:tblGrid>
        </w:tblGridChange>
      </w:tblGrid>
      <w:tr>
        <w:trPr>
          <w:trHeight w:val="1005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bidi w:val="1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מהות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האיסור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-&gt;  |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רמת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האיסור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bidi w:val="1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האמירה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bidi w:val="1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פגיעה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בשבת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bidi w:val="1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המלאכה</w:t>
            </w:r>
          </w:p>
        </w:tc>
      </w:tr>
      <w:tr>
        <w:trPr>
          <w:trHeight w:val="156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דאורייתא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יעשה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יעשה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מלאכה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בעבורך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מכילתא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</w:tr>
      <w:tr>
        <w:trPr>
          <w:trHeight w:val="2955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תשבות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יעשה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שבת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ודווקא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שכיות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פועלים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יהא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דאורייתא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אבל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הדלקת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דרבנן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חתם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סופר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יעיר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בכלים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ישראל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אסור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מדאורייתא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[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דומה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לשביתת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כלים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ידי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תוספת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שליחות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?]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יראים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</w:tr>
      <w:tr>
        <w:trPr>
          <w:trHeight w:val="2145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דברי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סופרים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שבות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מדברי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סופרים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יהא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שבת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בעיניו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רמב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שמירת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שבת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במובן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הרחב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כולל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המעשה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והאמירה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שכולם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פוגעים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בקדושת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השבת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56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ודבר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שאילתות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05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דרבנן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שליחות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מדרבנן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יראים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</w:tr>
      <w:tr>
        <w:trPr>
          <w:trHeight w:val="2115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איסור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אמירה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בגלל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שמחזי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כשלוחו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חשש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חמור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שיעשה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הישראל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המעשה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מלאכה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בעצמו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לאחלופי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ראבי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שצא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תקנו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שליחות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כדי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יבוא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בעצמו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</w:tr>
      <w:tr>
        <w:trPr>
          <w:trHeight w:val="45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2"/>
        <w:bidiVisual w:val="1"/>
        <w:tblW w:w="8970.0" w:type="dxa"/>
        <w:jc w:val="left"/>
        <w:tblInd w:w="80.0" w:type="pct"/>
        <w:tblBorders>
          <w:top w:color="a3a3a3" w:space="0" w:sz="8" w:val="single"/>
          <w:left w:color="a3a3a3" w:space="0" w:sz="8" w:val="single"/>
          <w:bottom w:color="a3a3a3" w:space="0" w:sz="8" w:val="single"/>
          <w:right w:color="a3a3a3" w:space="0" w:sz="8" w:val="single"/>
          <w:insideH w:color="a3a3a3" w:space="0" w:sz="8" w:val="single"/>
          <w:insideV w:color="a3a3a3" w:space="0" w:sz="8" w:val="single"/>
        </w:tblBorders>
        <w:tblLayout w:type="fixed"/>
        <w:tblLook w:val="0600"/>
      </w:tblPr>
      <w:tblGrid>
        <w:gridCol w:w="2775"/>
        <w:gridCol w:w="945"/>
        <w:gridCol w:w="1935"/>
        <w:gridCol w:w="1320"/>
        <w:gridCol w:w="1995"/>
        <w:tblGridChange w:id="0">
          <w:tblGrid>
            <w:gridCol w:w="2775"/>
            <w:gridCol w:w="945"/>
            <w:gridCol w:w="1935"/>
            <w:gridCol w:w="1320"/>
            <w:gridCol w:w="1995"/>
          </w:tblGrid>
        </w:tblGridChange>
      </w:tblGrid>
      <w:tr>
        <w:trPr>
          <w:trHeight w:val="45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bidi w:val="1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מ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מותר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אסור</w:t>
            </w:r>
          </w:p>
        </w:tc>
      </w:tr>
      <w:tr>
        <w:trPr>
          <w:trHeight w:val="45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רמיזה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רמב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</w:p>
        </w:tc>
      </w:tr>
      <w:tr>
        <w:trPr>
          <w:trHeight w:val="45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רמיזה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בשבת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רמב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</w:p>
        </w:tc>
      </w:tr>
      <w:tr>
        <w:trPr>
          <w:trHeight w:val="735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רמיזה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שבת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בשבת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תרומה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רמב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טור</w:t>
            </w:r>
          </w:p>
        </w:tc>
      </w:tr>
      <w:tr>
        <w:trPr>
          <w:trHeight w:val="735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אמירה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שבת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רמב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תרומה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</w:p>
        </w:tc>
      </w:tr>
      <w:tr>
        <w:trPr>
          <w:trHeight w:val="45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אמירה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לאמירה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שבת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שבת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רמב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עדיין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פוגע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קדושת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שבת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C7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