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מהות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האיסור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טז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טז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05">
      <w:pPr>
        <w:bidi w:val="1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right="5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מכילתא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ישמעאל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מסכתא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דפסחא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מלאכתך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 (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מלאכתך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יאשיה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יונתן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לקדשו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מוזהר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מוזהר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מוזהר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מוזהר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במלאכתך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מוזהר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במלאכתך</w:t>
      </w:r>
      <w:r w:rsidDel="00000000" w:rsidR="00000000" w:rsidRPr="00000000">
        <w:rPr>
          <w:sz w:val="24"/>
          <w:szCs w:val="24"/>
          <w:rtl w:val="1"/>
        </w:rPr>
        <w:t xml:space="preserve">]. 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עה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במכילתיה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יראים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קסח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יט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אמנם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אסמכתא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בעלמא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ולשון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הכתוב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בתורה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מוכיח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קצת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דפוס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קיג</w:t>
      </w:r>
      <w:r w:rsidDel="00000000" w:rsidR="00000000" w:rsidRPr="00000000">
        <w:rPr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10">
      <w:pPr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במכילתא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להניח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העובד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כוכבים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מלאכתו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מדאורייתא</w:t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'] </w:t>
      </w:r>
      <w:r w:rsidDel="00000000" w:rsidR="00000000" w:rsidRPr="00000000">
        <w:rPr>
          <w:sz w:val="24"/>
          <w:szCs w:val="24"/>
          <w:rtl w:val="1"/>
        </w:rPr>
        <w:t xml:space="preserve">בש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לכובס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שימסרם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ובקיבולת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ובתלוש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בבתיהם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בתלוש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בתלוש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בקיבולת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ביסנא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'] </w:t>
      </w:r>
      <w:r w:rsidDel="00000000" w:rsidR="00000000" w:rsidRPr="00000000">
        <w:rPr>
          <w:sz w:val="24"/>
          <w:szCs w:val="24"/>
          <w:rtl w:val="1"/>
        </w:rPr>
        <w:t xml:space="preserve">מקבלין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קיבולת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במחובר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דמקרבא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דמיתסר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דמפרסמא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ניקנית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במסירה</w:t>
      </w:r>
      <w:r w:rsidDel="00000000" w:rsidR="00000000" w:rsidRPr="00000000">
        <w:rPr>
          <w:sz w:val="24"/>
          <w:szCs w:val="24"/>
          <w:rtl w:val="1"/>
        </w:rPr>
        <w:t xml:space="preserve">,)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למדנו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שאסורה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התורה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העובד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כוכבים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לצורך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בכליו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הגחלים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ויחכם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'] </w:t>
      </w:r>
      <w:r w:rsidDel="00000000" w:rsidR="00000000" w:rsidRPr="00000000">
        <w:rPr>
          <w:sz w:val="24"/>
          <w:szCs w:val="24"/>
          <w:rtl w:val="1"/>
        </w:rPr>
        <w:t xml:space="preserve">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דליקת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תכבה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תכבה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בגחלים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לשימוש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ואוכלים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דאמרינן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לעיל</w:t>
      </w:r>
      <w:r w:rsidDel="00000000" w:rsidR="00000000" w:rsidRPr="00000000">
        <w:rPr>
          <w:b w:val="1"/>
          <w:sz w:val="24"/>
          <w:szCs w:val="24"/>
          <w:rtl w:val="1"/>
        </w:rPr>
        <w:t xml:space="preserve"> [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רע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z w:val="24"/>
          <w:szCs w:val="24"/>
          <w:rtl w:val="1"/>
        </w:rPr>
        <w:t xml:space="preserve">]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לעובד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כוכבים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באיסורא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בשאינה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מלאכת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כגון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אומרים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לעובד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כוכבים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לצורכי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דמייתינן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אסמכתא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בעלמא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טז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טז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הבינותי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מוזהרין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מוזהר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מוזהר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מכשול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מוזהרים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במכילתא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יאשיה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להלן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מוזהר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כמלאכתך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אסמכתא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וסמכו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ועושה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):)</w:t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דרבנן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גבוהה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סופרים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נביאים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מדברי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סופרים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תהיה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בעיניהן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ויבואו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בעצמן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דזבנה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קנייה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נצטוו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מכשול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נצטוו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נצטוו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לעובד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כוכבים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ממצוא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חפצך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ישעיהו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נח</w:t>
      </w:r>
      <w:r w:rsidDel="00000000" w:rsidR="00000000" w:rsidRPr="00000000">
        <w:rPr>
          <w:b w:val="1"/>
          <w:sz w:val="24"/>
          <w:szCs w:val="24"/>
          <w:rtl w:val="1"/>
        </w:rPr>
        <w:t xml:space="preserve">)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שליחות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שלוחו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הגהות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מיימוניות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שליחות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לחומרא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למסירת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אדעתא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דנפשייהו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קעבדי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לפוסק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צרכיו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לעצמך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אצטרך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אצטרך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דפסקינן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דקידושין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דפסח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ושלום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שולחן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שכשהנכרי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בשליחות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ודרשו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שלוחכם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ששלוחו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שלוחכם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מדברי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סופרים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שליחות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לחומרא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מצווים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אסמכתא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ועיקר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האיסור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מדבריהם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תהא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בעיני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העם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ויבאו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לעשות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בעצמן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שיתבארו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במקומן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1">
      <w:pPr>
        <w:bidi w:val="1"/>
        <w:ind w:right="108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</w:t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מג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כט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באכילת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לענ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לעכו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דאסרו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חז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דדמי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לשליחות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ובאכילה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קדושי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6">
      <w:pPr>
        <w:bidi w:val="1"/>
        <w:ind w:right="5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חפצך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וכדפי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דתשבות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דכתיב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יהי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החול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חשבנותיו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סקילה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דתשבות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סקילה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כהדלקת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ותלישת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ומלאכתו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לאוסרם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ומלאכתו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דתשבות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חפצך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הגאון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הגרשוני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בתשו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הגאון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דודבר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דדברי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נביא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אמצוא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חפצך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לשכור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פועלים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וכדומה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עבודת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עובדא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דחול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הדבור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מדאוריי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לשכור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פועלים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הדיבור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בעצמו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להדליק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וכדומה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דהמלאכה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עצמה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חמורה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בסקילה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איננו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בכלל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מדרבנן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ודבריו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מוכרחים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דשמעתין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דכיבוי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מובנים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בספר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יהושע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הקשה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לרש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ורוב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הפוסקים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דס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שליחות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להחמיר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לאיזה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צורך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תיפוק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שלוחו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כמותו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לענין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יפה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כתב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מאיר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דלענין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למען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ינוח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שלוחו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כמותו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דגופו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נייח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שלוחו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לולב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עבודת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שלוחו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כוונת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שיהי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מטעם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שלוחו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כמותו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דחכמים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המלאכה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דבעלמא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שלוחו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כמותו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לחומרא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גזרו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חכמים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מלאכת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לדעת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. (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סרוס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תיפוק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והגאונים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בדבריהם</w:t>
      </w:r>
      <w:r w:rsidDel="00000000" w:rsidR="00000000" w:rsidRPr="00000000">
        <w:rPr>
          <w:sz w:val="24"/>
          <w:szCs w:val="24"/>
          <w:rtl w:val="1"/>
        </w:rPr>
        <w:t xml:space="preserve">....)</w:t>
      </w:r>
    </w:p>
    <w:p w:rsidR="00000000" w:rsidDel="00000000" w:rsidP="00000000" w:rsidRDefault="00000000" w:rsidRPr="00000000" w14:paraId="0000003C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ונחזור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לדברי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הגאון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הנ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שמסופק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בלהדליק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ואכתי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יועיל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עכ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פ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האחרון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עושה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קוצץ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הספק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לאמירה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להדליק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למחר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לספוקי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איפשטא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דהנה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איסורים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1"/>
        </w:rPr>
        <w:t xml:space="preserve">הא</w:t>
      </w:r>
      <w:r w:rsidDel="00000000" w:rsidR="00000000" w:rsidRPr="00000000">
        <w:rPr>
          <w:b w:val="1"/>
          <w:rtl w:val="1"/>
        </w:rPr>
        <w:t xml:space="preserve">')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הב</w:t>
      </w:r>
      <w:r w:rsidDel="00000000" w:rsidR="00000000" w:rsidRPr="00000000">
        <w:rPr>
          <w:b w:val="1"/>
          <w:rtl w:val="1"/>
        </w:rPr>
        <w:t xml:space="preserve">')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שהגוי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שלוחו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שהחשיך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קנג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הנה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לטעם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אזיל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הראשון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וכשאומר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מטעם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הטעמים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