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u w:val="single"/>
          <w:rtl w:val="1"/>
        </w:rPr>
        <w:t xml:space="preserve">קילוף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פירות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{</w:t>
      </w:r>
      <w:r w:rsidDel="00000000" w:rsidR="00000000" w:rsidRPr="00000000">
        <w:rPr>
          <w:rtl w:val="0"/>
        </w:rPr>
        <w:t xml:space="preserve">peeling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fruit</w:t>
      </w:r>
      <w:r w:rsidDel="00000000" w:rsidR="00000000" w:rsidRPr="00000000">
        <w:rPr>
          <w:rtl w:val="1"/>
        </w:rPr>
        <w:t xml:space="preserve">}-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\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כסי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חיקו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למעשר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הקשואין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והדלועין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משיפקסו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פקסו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משיעמיד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משיעמיד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המקלף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לאוכלן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נתמרחו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שמקלפן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במעשר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משקבצן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חיקו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בשולי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דבנ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תיק</w:t>
      </w:r>
      <w:r w:rsidDel="00000000" w:rsidR="00000000" w:rsidRPr="00000000">
        <w:rPr>
          <w:rtl w:val="1"/>
        </w:rPr>
        <w:t xml:space="preserve">+.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משיפקסו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משניטל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כשמתיבש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הוקבעו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שנסמכה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בויקהל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ההן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ברישייא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בקליפייתיה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במדוכתה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טוחן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ההן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שמפרר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חיטין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בקלופייתה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הקליפות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טוחן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לאוכלן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{The sefer hatrumah is paskening like the yerushalmi that there is aproblem of Disha (aka dash;) when peeling food. However, there is also a heter that when doing it immediately before eating we consider it part of the eating process and is muttar, much like we have regarding boreir (which we will disscuss later)}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מקלף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דמקלפא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חיקו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b w:val="1"/>
          <w:rtl w:val="1"/>
        </w:rPr>
        <w:t xml:space="preserve">ולדידי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קליפה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חשבינן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סחיטה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What would we say about squeezing juice out of Fruit?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permitted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prohibited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Prohibited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שריסקן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יסחוט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מכונסין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ונתקיימה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יסחוט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שמרוסקין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לסוחטו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מרוסקין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שטוענין</w:t>
      </w:r>
      <w:r w:rsidDel="00000000" w:rsidR="00000000" w:rsidRPr="00000000">
        <w:rPr>
          <w:rtl w:val="1"/>
        </w:rPr>
        <w:t xml:space="preserve"> -…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שנשברה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ריסקן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דהוה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…..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דריסת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זיתים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וענבים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מנשה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דריכות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אורחייהו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בהכי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סוחטין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ובפרישין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ובעוזרדין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לסוחטן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הותר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לסוחטן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מזה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למימיהן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היוצא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מהן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חשיב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איהו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לדידיה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סוחטין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ובפרישין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למעבד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משקה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ומיחייב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בפגעין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….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כשסוחטן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כדריכת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עומדין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וסחיט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אצל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b w:val="1"/>
          <w:u w:val="single"/>
          <w:rtl w:val="1"/>
        </w:rPr>
        <w:t xml:space="preserve">סחיטת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כבשים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כמו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חמוצים</w:t>
      </w:r>
      <w:r w:rsidDel="00000000" w:rsidR="00000000" w:rsidRPr="00000000">
        <w:rPr>
          <w:b w:val="1"/>
          <w:u w:val="single"/>
          <w:rtl w:val="1"/>
        </w:rPr>
        <w:t xml:space="preserve">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שסחטן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לגופן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למימיהן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ושלקות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למימיהן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לגופן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למימיהן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לגופן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למימיהן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כבשין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מפרק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הכבשים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אטו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זיתים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וענבים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שלקות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למימיהן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1"/>
        </w:rPr>
        <w:t xml:space="preserve">כבשים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שסחטן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.) {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prohibit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cloth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close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oil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jug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because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squeeze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oil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absorbed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יוחנן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חטאת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הספוג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ששואב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כזיתים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וענבים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שהמשקים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בלועים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בגופם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ממינם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מיבלע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בליעי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כזיתים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וענבים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ומתקבלים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סחיטה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לתוך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אוכל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הקערה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הקערה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דמוכחא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למשקה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לאוכל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פריקתו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והוי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כמפריד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מאוכל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הקערה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דזמנין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דמוכחא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לשתיי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התבשיל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אוסר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ריקנית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שסחטן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כמפריד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כמפרק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0"/>
        </w:rPr>
        <w:t xml:space="preserve">-------</w:t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1"/>
        </w:rPr>
        <w:t xml:space="preserve">לסיכום</w:t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סחיטת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</w:p>
    <w:p w:rsidR="00000000" w:rsidDel="00000000" w:rsidP="00000000" w:rsidRDefault="00000000" w:rsidRPr="00000000" w14:paraId="00000097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פעולת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דישה</w:t>
      </w:r>
    </w:p>
    <w:p w:rsidR="00000000" w:rsidDel="00000000" w:rsidP="00000000" w:rsidRDefault="00000000" w:rsidRPr="00000000" w14:paraId="00000098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הפרי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9A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מהותי</w:t>
      </w:r>
    </w:p>
    <w:p w:rsidR="00000000" w:rsidDel="00000000" w:rsidP="00000000" w:rsidRDefault="00000000" w:rsidRPr="00000000" w14:paraId="0000009B">
      <w:pPr>
        <w:numPr>
          <w:ilvl w:val="2"/>
          <w:numId w:val="3"/>
        </w:numPr>
        <w:bidi w:val="1"/>
        <w:ind w:left="2160" w:hanging="360"/>
      </w:pP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C">
      <w:pPr>
        <w:numPr>
          <w:ilvl w:val="3"/>
          <w:numId w:val="3"/>
        </w:numPr>
        <w:bidi w:val="1"/>
        <w:ind w:left="2880" w:hanging="360"/>
      </w:pP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מושלם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D">
      <w:pPr>
        <w:numPr>
          <w:ilvl w:val="2"/>
          <w:numId w:val="3"/>
        </w:numPr>
        <w:bidi w:val="1"/>
        <w:ind w:left="2160" w:hanging="360"/>
      </w:pP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</w:p>
    <w:p w:rsidR="00000000" w:rsidDel="00000000" w:rsidP="00000000" w:rsidRDefault="00000000" w:rsidRPr="00000000" w14:paraId="0000009E">
      <w:pPr>
        <w:numPr>
          <w:ilvl w:val="3"/>
          <w:numId w:val="3"/>
        </w:numPr>
        <w:bidi w:val="1"/>
        <w:ind w:left="2880" w:hanging="360"/>
      </w:pP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חיסרון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במיץ</w:t>
      </w:r>
    </w:p>
    <w:p w:rsidR="00000000" w:rsidDel="00000000" w:rsidP="00000000" w:rsidRDefault="00000000" w:rsidRPr="00000000" w14:paraId="0000009F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טכני</w:t>
      </w:r>
    </w:p>
    <w:p w:rsidR="00000000" w:rsidDel="00000000" w:rsidP="00000000" w:rsidRDefault="00000000" w:rsidRPr="00000000" w14:paraId="000000A0">
      <w:pPr>
        <w:numPr>
          <w:ilvl w:val="2"/>
          <w:numId w:val="3"/>
        </w:numPr>
        <w:bidi w:val="1"/>
        <w:ind w:left="2160" w:hanging="360"/>
      </w:pP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מובהק</w:t>
      </w:r>
    </w:p>
    <w:p w:rsidR="00000000" w:rsidDel="00000000" w:rsidP="00000000" w:rsidRDefault="00000000" w:rsidRPr="00000000" w14:paraId="000000A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וענבים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מנהג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\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</w:p>
    <w:p w:rsidR="00000000" w:rsidDel="00000000" w:rsidP="00000000" w:rsidRDefault="00000000" w:rsidRPr="00000000" w14:paraId="000000A7">
      <w:pPr>
        <w:numPr>
          <w:ilvl w:val="1"/>
          <w:numId w:val="2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&amp; </w:t>
      </w: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</w:p>
    <w:p w:rsidR="00000000" w:rsidDel="00000000" w:rsidP="00000000" w:rsidRDefault="00000000" w:rsidRPr="00000000" w14:paraId="000000A9">
      <w:pPr>
        <w:numPr>
          <w:ilvl w:val="1"/>
          <w:numId w:val="2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קמד</w:t>
      </w:r>
      <w:r w:rsidDel="00000000" w:rsidR="00000000" w:rsidRPr="00000000">
        <w:rPr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מהותי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טמונים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ועניבים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קליפה</w:t>
      </w:r>
      <w:r w:rsidDel="00000000" w:rsidR="00000000" w:rsidRPr="00000000">
        <w:rPr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bidi w:val="1"/>
        <w:ind w:left="2160" w:hanging="360"/>
      </w:pP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AD">
      <w:pPr>
        <w:numPr>
          <w:ilvl w:val="3"/>
          <w:numId w:val="1"/>
        </w:numPr>
        <w:bidi w:val="1"/>
        <w:ind w:left="2880" w:hanging="360"/>
      </w:pPr>
      <w:r w:rsidDel="00000000" w:rsidR="00000000" w:rsidRPr="00000000">
        <w:rPr>
          <w:sz w:val="24"/>
          <w:szCs w:val="24"/>
          <w:rtl w:val="1"/>
        </w:rPr>
        <w:t xml:space="preserve">זיתים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וענבים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המשקה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bidi w:val="1"/>
        <w:ind w:left="2880" w:hanging="360"/>
      </w:pP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ומוכנים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וענבים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כפסולת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שסוחטין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נאכל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המשקה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נוזלי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bidi w:val="1"/>
        <w:ind w:left="2160" w:hanging="360"/>
      </w:pP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המשקה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bidi w:val="1"/>
        <w:ind w:left="2880" w:hanging="360"/>
      </w:pP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החקלאות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2">
      <w:pPr>
        <w:numPr>
          <w:ilvl w:val="4"/>
          <w:numId w:val="1"/>
        </w:numPr>
        <w:bidi w:val="1"/>
        <w:ind w:left="3600" w:hanging="360"/>
      </w:pPr>
      <w:r w:rsidDel="00000000" w:rsidR="00000000" w:rsidRPr="00000000">
        <w:rPr>
          <w:sz w:val="24"/>
          <w:szCs w:val="24"/>
          <w:rtl w:val="1"/>
        </w:rPr>
        <w:t xml:space="preserve">רובן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למשקה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3">
      <w:pPr>
        <w:numPr>
          <w:ilvl w:val="4"/>
          <w:numId w:val="1"/>
        </w:numPr>
        <w:bidi w:val="1"/>
        <w:ind w:left="3600" w:hanging="360"/>
      </w:pPr>
      <w:r w:rsidDel="00000000" w:rsidR="00000000" w:rsidRPr="00000000">
        <w:rPr>
          <w:sz w:val="24"/>
          <w:szCs w:val="24"/>
          <w:rtl w:val="1"/>
        </w:rPr>
        <w:t xml:space="preserve">רובן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לאוכל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B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