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דישה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היקף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והפוצעו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פציעה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קסברי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נפשך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דדישה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דקוצר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דבשילהי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בגידולי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דהמצניע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דכשחולב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הקונטרס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וקסבר</w:t>
      </w:r>
      <w:r w:rsidDel="00000000" w:rsidR="00000000" w:rsidRPr="00000000">
        <w:rPr>
          <w:rtl w:val="1"/>
        </w:rPr>
        <w:t xml:space="preserve">].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מכונסים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וטמונים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דדישת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אליעזר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קסברי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בכתובות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וביבמות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מגבן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בגידולי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rtl w:val="0"/>
        </w:rPr>
        <w:t xml:space="preserve">] … </w:t>
      </w:r>
      <w:r w:rsidDel="00000000" w:rsidR="00000000" w:rsidRPr="00000000">
        <w:rPr>
          <w:b w:val="1"/>
          <w:rtl w:val="1"/>
        </w:rPr>
        <w:t xml:space="preserve">ועוד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לפרש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בגידולי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  <w:t xml:space="preserve">{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}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מפרק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תולדה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דדש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משאוי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שפורק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שנתכסה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דקוצר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החולב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הבהמה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חלוקין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. {</w:t>
      </w:r>
      <w:r w:rsidDel="00000000" w:rsidR="00000000" w:rsidRPr="00000000">
        <w:rPr>
          <w:rtl w:val="1"/>
        </w:rPr>
        <w:t xml:space="preserve">מרב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החובל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? ….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שהסחיטה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לעזים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שהחייב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ועין</w:t>
      </w:r>
      <w:r w:rsidDel="00000000" w:rsidR="00000000" w:rsidRPr="00000000">
        <w:rPr>
          <w:b w:val="1"/>
          <w:rtl w:val="1"/>
        </w:rPr>
        <w:t xml:space="preserve"> /</w:t>
      </w:r>
      <w:r w:rsidDel="00000000" w:rsidR="00000000" w:rsidRPr="00000000">
        <w:rPr>
          <w:b w:val="1"/>
          <w:rtl w:val="1"/>
        </w:rPr>
        <w:t xml:space="preserve">מעין</w:t>
      </w:r>
      <w:r w:rsidDel="00000000" w:rsidR="00000000" w:rsidRPr="00000000">
        <w:rPr>
          <w:b w:val="1"/>
          <w:rtl w:val="1"/>
        </w:rPr>
        <w:t xml:space="preserve">/ </w:t>
      </w:r>
      <w:r w:rsidDel="00000000" w:rsidR="00000000" w:rsidRPr="00000000">
        <w:rPr>
          <w:b w:val="1"/>
          <w:rtl w:val="1"/>
        </w:rPr>
        <w:t xml:space="preserve">האב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/</w:t>
      </w:r>
      <w:r w:rsidDel="00000000" w:rsidR="00000000" w:rsidRPr="00000000">
        <w:rPr>
          <w:b w:val="1"/>
          <w:rtl w:val="1"/>
        </w:rPr>
        <w:t xml:space="preserve">אינם</w:t>
      </w:r>
      <w:r w:rsidDel="00000000" w:rsidR="00000000" w:rsidRPr="00000000">
        <w:rPr>
          <w:b w:val="1"/>
          <w:rtl w:val="1"/>
        </w:rPr>
        <w:t xml:space="preserve">/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מרינוס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