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sentence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priori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definition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דישה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אופי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והדש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והמנפט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לדיקלא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דישקארגיי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בלעז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לפרוק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נחבטין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וכשנחבט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ובנפילתו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השבולת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הנותק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:).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אגלי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המפרק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המחוברת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ומכינתן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בזרייה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בהרקדה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העליונה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השבולת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שמשתנה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שנסתר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וליחשב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קליפתן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מיפרקה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מלבוש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שפורק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שנתכסה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לתלוש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נתלשו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בקליפתן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החיצונה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