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Planters (without holes connecting them to the ground) are considered detached from ground and therefore not planting for many areas of halakha (such as shmitah, trumot and maasrot etc.)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What about planting in one on Shabbat? would that be a Torah prohibition or only a Rabinic one?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Detaching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1"/>
        </w:rPr>
        <w:t xml:space="preserve">קוצר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from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Rabbinic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violation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דיונק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שמריח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בדופנו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דתלש</w:t>
      </w:r>
      <w:r w:rsidDel="00000000" w:rsidR="00000000" w:rsidRPr="00000000">
        <w:rPr>
          <w:rtl w:val="1"/>
        </w:rPr>
        <w:t xml:space="preserve">  {</w:t>
      </w:r>
      <w:r w:rsidDel="00000000" w:rsidR="00000000" w:rsidRPr="00000000">
        <w:rPr>
          <w:rtl w:val="1"/>
        </w:rPr>
        <w:t xml:space="preserve">קח</w:t>
      </w:r>
      <w:r w:rsidDel="00000000" w:rsidR="00000000" w:rsidRPr="00000000">
        <w:rPr>
          <w:rtl w:val="1"/>
        </w:rPr>
        <w:t xml:space="preserve">.} </w:t>
      </w:r>
      <w:r w:rsidDel="00000000" w:rsidR="00000000" w:rsidRPr="00000000">
        <w:rPr>
          <w:rtl w:val="1"/>
        </w:rPr>
        <w:t xml:space="preserve">פיטרא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דחצבא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מגידולו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אושעיא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רביתיה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פיטרא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פטריות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בולי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+</w:t>
      </w:r>
      <w:r w:rsidDel="00000000" w:rsidR="00000000" w:rsidRPr="00000000">
        <w:rPr>
          <w:rtl w:val="1"/>
        </w:rPr>
        <w:t xml:space="preserve">פטריות</w:t>
      </w:r>
      <w:r w:rsidDel="00000000" w:rsidR="00000000" w:rsidRPr="00000000">
        <w:rPr>
          <w:rtl w:val="1"/>
        </w:rPr>
        <w:t xml:space="preserve">+. {</w:t>
      </w:r>
      <w:r w:rsidDel="00000000" w:rsidR="00000000" w:rsidRPr="00000000">
        <w:rPr>
          <w:rtl w:val="0"/>
        </w:rPr>
        <w:t xml:space="preserve">mushrooms</w:t>
      </w:r>
      <w:r w:rsidDel="00000000" w:rsidR="00000000" w:rsidRPr="00000000">
        <w:rPr>
          <w:rtl w:val="1"/>
        </w:rPr>
        <w:t xml:space="preserve">}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מאונא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דחצבא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ושאינו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רביתיה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דאין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זריעה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שאמרנו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גידולן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פשתן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למים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כיבוס</w:t>
      </w:r>
      <w:r w:rsidDel="00000000" w:rsidR="00000000" w:rsidRPr="00000000">
        <w:rPr>
          <w:rtl w:val="1"/>
        </w:rPr>
        <w:t xml:space="preserve">],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דמקדח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חיטי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ושערי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rtl w:val="0"/>
        </w:rPr>
        <w:t xml:space="preserve">! 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כדמפרש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ואזיל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דמיקדח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צומח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והויא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זריעה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הזורע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הזומר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ושעורין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נשמת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ומועדים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המצניע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ומסתברא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דחייב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') [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וב</w:t>
      </w:r>
      <w:r w:rsidDel="00000000" w:rsidR="00000000" w:rsidRPr="00000000">
        <w:rPr>
          <w:rtl w:val="1"/>
        </w:rPr>
        <w:t xml:space="preserve">'], </w:t>
      </w:r>
      <w:r w:rsidDel="00000000" w:rsidR="00000000" w:rsidRPr="00000000">
        <w:rPr>
          <w:rtl w:val="1"/>
        </w:rPr>
        <w:t xml:space="preserve">ובעציץ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קח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קז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פיטרא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דחצבא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מגידולו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אושעיא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פרש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זריעה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רביתא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דדוקא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לגדל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מאיליו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מחובר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ובעציץ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נקוב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זריעה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זריעה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כתלוש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ודומה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למחתך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התלוש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דפטור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חיובא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דזורע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דמרבינן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תולדת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שכוונתו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להצמיח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נקוב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נקוב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וה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להצמיח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דבמנחות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דמרבינן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דזבחים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דמקדח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מצמיח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ושערי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ושערי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הלשון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כרחך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ספק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כוונתו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להצמיח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שיתרככו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ויצמחו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לזורעם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בקרקע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בקטניות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ושאר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זרעים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ששורה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שעורים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מאלצי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בודאי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תיכף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משנתנם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זורע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כאלו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בקרקע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ושערי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ושערי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לאשמועינן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דבפשתן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לאשמועינן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דפשיטא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דאשמועינן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דבפשתן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ואדרבה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דזבחים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ונ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לאשמועינן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בזורק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כוונתו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להצמיח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איצטריך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לאשמועינן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מתכוין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שיתדבקו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תיכף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פסיק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רישיה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משא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צמיחה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דדוקא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כשמתכוין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שיצמיח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אזי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תיכף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כוונתו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להצמיח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בודאי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פסיק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רישיה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כוונתו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להצמיח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יצמח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בודאי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זורע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מדקדקין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שיצמיח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צמיחה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לנכרי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מלצין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Soaking seeds in water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הזורע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הזומר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ושעורין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רמח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תריא</w:t>
      </w:r>
      <w:r w:rsidDel="00000000" w:rsidR="00000000" w:rsidRPr="00000000">
        <w:rPr>
          <w:rtl w:val="1"/>
        </w:rPr>
        <w:t xml:space="preserve">) 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שאלת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ושעורין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ושאלת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יעמדו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יצמחו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שיהיו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נוחין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לזריעה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ויצמחו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נא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לאצמוחי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']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בחכמת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תבואה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מהן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מאלצין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לשכר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דידוע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דכונתו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להצמיח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יצמיחו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להצמיח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שיצמיחו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הבהמות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33401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בעלה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b w:val="1"/>
          <w:rtl w:val="1"/>
        </w:rPr>
        <w:t xml:space="preserve">ומחזירתו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בשבת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מחזירין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מוסיפין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מחליפין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בלולב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1"/>
        </w:rPr>
        <w:t xml:space="preserve">מקבלת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לולביהן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קמטלטלא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1"/>
        </w:rPr>
        <w:t xml:space="preserve">מחזירין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יכמוש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מחזירין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דטרח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מחליפין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בחולו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להחליף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הגה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להעמיד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ענפי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ובלבד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יהיו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פרחים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ושושנים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נפתחים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מלחלוחית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המים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מהרי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1"/>
        </w:rPr>
        <w:t xml:space="preserve">ברכי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הגהה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שנוהגין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טראנדאפי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לאס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וקלאויאי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נאס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מהריק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בהגהותיו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דחטים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ושעורים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מצמיחים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חדש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ורדים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נפתח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הסתום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4457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