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אבות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ותולדות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דזרעי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והזומר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pruning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? [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]: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אספסתא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סילקא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מכרב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חורשין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צמוחי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ונוטע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זורע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ומרכיב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דלצמוחי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עביד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ונוטע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ומרכיב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להצמיח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הגפן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לקצור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דקטל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אספסתא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וקוצרין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וצומח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דקניב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סילקא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וגדלין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מתכוין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דמתרהו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מלעיג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אתולדה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השנויים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במשנתנו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ומיפרשא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ואסיק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מדוקיא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ובתולדותיהן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זורה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המבריך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המרכיב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והמקרסם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המזרר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המפסל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המזהם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המפרק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המעשן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המתלע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הקוסם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המשקה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המנקב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לתולדה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נכללין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הנוטע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וולד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ובנטילתו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כקוצר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כשעשאם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נמצא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ריבוי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ממעט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הקרבנות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דלאתרויי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נפרש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ומורי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והחורץ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אתמר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המנכש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לרפויי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מרפויי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דרכו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זורע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לצמוחי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פירא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לדידך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מנכש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לריפויי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לרכך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בתרווייהו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תרווייהו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ואשכחינן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זומר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מרפויי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לרפויי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פליגי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מדמינן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המחשבה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אזלינן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אזלינן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הדמיון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jc w:val="center"/>
        <w:rPr/>
      </w:pPr>
      <w:r w:rsidDel="00000000" w:rsidR="00000000" w:rsidRPr="00000000">
        <w:rPr>
          <w:b w:val="1"/>
          <w:u w:val="single"/>
          <w:rtl w:val="1"/>
        </w:rPr>
        <w:t xml:space="preserve">מתי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חייבים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זורע</w:t>
      </w:r>
      <w:r w:rsidDel="00000000" w:rsidR="00000000" w:rsidRPr="00000000">
        <w:rPr>
          <w:b w:val="1"/>
          <w:u w:val="single"/>
          <w:rtl w:val="1"/>
        </w:rPr>
        <w:t xml:space="preserve">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דאשרוש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תנינא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תנינא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דחצדינהו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harvested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וזרעינהו</w:t>
      </w:r>
      <w:r w:rsidDel="00000000" w:rsidR="00000000" w:rsidRPr="00000000">
        <w:rPr>
          <w:rtl w:val="1"/>
        </w:rPr>
        <w:t xml:space="preserve"> { </w:t>
      </w:r>
      <w:r w:rsidDel="00000000" w:rsidR="00000000" w:rsidRPr="00000000">
        <w:rPr>
          <w:rtl w:val="0"/>
        </w:rPr>
        <w:t xml:space="preserve">planted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kernels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כמאן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דשדייא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בכדא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? ….</w:t>
      </w:r>
      <w:r w:rsidDel="00000000" w:rsidR="00000000" w:rsidRPr="00000000">
        <w:rPr>
          <w:rtl w:val="1"/>
        </w:rPr>
        <w:t xml:space="preserve">תיקו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seeds that have been sown but not yet rooted in the ground are considered like they’re sitting in a container on the shelf for the korban omer, and many other dinim. 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דחצדינהו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דאשתקד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לנקוטי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ללקוט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השרשתן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ושרינהו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כגידולין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והנה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שנשרש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למפרע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שזרע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נתקיימה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דעסי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העקירה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דההשרשה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הטומן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וצנונות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דבהשרישו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….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מגולים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השרישו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איירי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would seem from Tosfot that if root vegetables were put in the ground with t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remove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before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root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issue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לצמוח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הזריע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שזרע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ונקלט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לרדותה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דזריע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אדעתא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להגביה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תיכף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יצמח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צמיחה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קומץ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המנחה</w:t>
      </w:r>
      <w:r w:rsidDel="00000000" w:rsidR="00000000" w:rsidRPr="00000000">
        <w:rPr>
          <w:rtl w:val="1"/>
        </w:rPr>
        <w:t xml:space="preserve">/ [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דמתוך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דמגבן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+.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