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major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regarding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status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plowing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oxen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several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times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previous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shiurim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integtration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external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complex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issue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'+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ובהמתך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לאזהרת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According to the Rambam one who plows with his oxen is chayav, even though the animal is the one doing the actual plowing.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השגות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כסבור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שהזכרנו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ובהמתך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במחמר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ופטרוהו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מחטאת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בגופו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פירשוהו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וזולתו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בגופו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הוצרכו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לדרשן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ובהמתך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ויקהל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שאילו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בבהמתו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עצמו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ובהמתו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האומן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הגרזן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החוצב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מניפו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ומדי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ומעשיו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המושך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b w:val="1"/>
          <w:rtl w:val="1"/>
        </w:rPr>
        <w:t xml:space="preserve">מיהו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שעיקרה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בהמתו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איפכא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בגמרא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וליבתה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מסייעתו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מסייעתו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וגרמא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ומפורש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מסתבר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וכמאן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והדלקתה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בתירוצו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משגיחין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אהעו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וכמוש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ולכאורה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בהשגותיו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שהבאתי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דמדמחייבינן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בגופו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וסבירא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דנעיצת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והחזקת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אלימתא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להדיא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שנתבאר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משתתף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הבהמה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{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Rav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Tzvi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Pesach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Frank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fundamental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machloket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Chazon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argue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driving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tractor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driving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plow</w:t>
      </w: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brought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famous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admit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Rishonim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debate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constitutes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מקלקל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בנין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הריסה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במתקן</w:t>
      </w:r>
      <w:r w:rsidDel="00000000" w:rsidR="00000000" w:rsidRPr="00000000">
        <w:rPr>
          <w:rtl w:val="1"/>
        </w:rPr>
        <w:t xml:space="preserve"> ….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מקלקל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-...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תיקון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reason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whatsoever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purpose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בהבונה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/: </w:t>
      </w:r>
      <w:r w:rsidDel="00000000" w:rsidR="00000000" w:rsidRPr="00000000">
        <w:rPr>
          <w:rtl w:val="1"/>
        </w:rPr>
        <w:t xml:space="preserve">הקודח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דקודח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רישיה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להרחיב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לעפרה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מדאורייתא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בניין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כשחופר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לעפרא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לעפרא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המכבד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{sweeping the floor}, </w:t>
      </w:r>
      <w:r w:rsidDel="00000000" w:rsidR="00000000" w:rsidRPr="00000000">
        <w:rPr>
          <w:b w:val="1"/>
          <w:rtl w:val="1"/>
        </w:rPr>
        <w:t xml:space="preserve">והמרבץ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{</w:t>
      </w:r>
      <w:r w:rsidDel="00000000" w:rsidR="00000000" w:rsidRPr="00000000">
        <w:rPr>
          <w:rtl w:val="0"/>
        </w:rPr>
        <w:t xml:space="preserve">sprinkling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keep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floor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giving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dust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והרודה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המכבד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והמרבץ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להרביץ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מחבץ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מתמלאין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והאידנא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בדהוצין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המכבד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והמרבץ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אליעזר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ומרבץ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מתכוון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...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באבנים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 (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שהמכבד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ולתקנו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שהכיבוד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רישיה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בכיבוד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ליפותו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ולתקנו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גומות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במרוצפים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