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והחורש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והחורץ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החורץ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חריצין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לרפויי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rtl w:val="1"/>
        </w:rPr>
        <w:t xml:space="preserve">ארעא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אתמר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המנכש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והמשקה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כוותי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דרכו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חורש</w:t>
      </w:r>
      <w:r w:rsidDel="00000000" w:rsidR="00000000" w:rsidRPr="00000000">
        <w:rPr>
          <w:u w:val="single"/>
          <w:rtl w:val="1"/>
        </w:rPr>
        <w:t xml:space="preserve"> - </w:t>
      </w:r>
      <w:r w:rsidDel="00000000" w:rsidR="00000000" w:rsidRPr="00000000">
        <w:rPr>
          <w:u w:val="single"/>
          <w:rtl w:val="1"/>
        </w:rPr>
        <w:t xml:space="preserve">לרפויי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ארעא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מרפויי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ארעא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כוותי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לצמוחי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מנכש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תולש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צמחי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משקה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בזרעים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שזורק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העשבים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חשבינן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לריפויי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u w:val="single"/>
          <w:rtl w:val="1"/>
        </w:rPr>
        <w:t xml:space="preserve">לרכך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החורש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המנכש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והמקרסם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והמזרד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u w:val="single"/>
          <w:rtl w:val="1"/>
        </w:rPr>
        <w:t xml:space="preserve">מלקט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עצים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להיסק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המלקט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גמרא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חזי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חזי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לביזרא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דכוותה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סמנין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המנכש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והמקרסם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והמזרד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התולש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והמזרד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לאכילה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כגרוגרת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להיסק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ליפות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הקרקע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תרוייהו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באגם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קמיכוין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תרוייהו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ימות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דקעביד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דחבריה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מקרסם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קוצץ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לתקנו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מזרד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זרדין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ומכחישים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ומתייבשין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וקוצצין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וקצצו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המחובר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1"/>
        </w:rPr>
        <w:t xml:space="preserve">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כגרוגרת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תרנגולת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שקלה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הביצים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1"/>
        </w:rPr>
        <w:t xml:space="preserve">גמרא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1"/>
        </w:rPr>
        <w:t xml:space="preserve">לביזרא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לזרוע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דשנינו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דלועין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מפיק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חרישה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עולשין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קרישפ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1"/>
        </w:rPr>
        <w:t xml:space="preserve">זרדין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ובעודן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נתקשו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מעט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ראויין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יבשו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עומדין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להסקה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1"/>
        </w:rPr>
        <w:t xml:space="preserve">אטו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מאליו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באגם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ליפות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1"/>
        </w:rPr>
        <w:t xml:space="preserve">בארעא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דחבריה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ליפות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גבשושית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בשדה</w:t>
      </w:r>
      <w:r w:rsidDel="00000000" w:rsidR="00000000" w:rsidRPr="00000000">
        <w:rPr>
          <w:u w:val="single"/>
          <w:rtl w:val="1"/>
        </w:rPr>
        <w:t xml:space="preserve"> - </w:t>
      </w:r>
      <w:r w:rsidDel="00000000" w:rsidR="00000000" w:rsidRPr="00000000">
        <w:rPr>
          <w:u w:val="single"/>
          <w:rtl w:val="1"/>
        </w:rPr>
        <w:t xml:space="preserve">חייב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חורש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החופר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לעפרה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מקלקל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1"/>
        </w:rPr>
        <w:t xml:space="preserve">גבשושית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קרקעיתו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C">
      <w:pPr>
        <w:bidi w:val="1"/>
        <w:rPr>
          <w:b w:val="1"/>
        </w:rPr>
      </w:pP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b w:val="1"/>
          <w:u w:val="single"/>
          <w:rtl w:val="1"/>
        </w:rPr>
        <w:t xml:space="preserve">דמרפי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ארעא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1"/>
        </w:rPr>
        <w:t xml:space="preserve">גומא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וטממה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רפוי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לעפרה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לכסות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צואה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דקלקול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המצניע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במטה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1"/>
        </w:rPr>
        <w:t xml:space="preserve">מקלקל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וילנא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u w:val="single"/>
          <w:rtl w:val="1"/>
        </w:rPr>
        <w:t xml:space="preserve">לכל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להניית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קרקע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חייב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חורש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החופר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המרבץ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המפעפע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זעירא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לזריעה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המסקל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מדריגות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הזיתים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לגפנים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וכל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להניית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קרקע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חייב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חורש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חננאל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… </w:t>
      </w:r>
      <w:r w:rsidDel="00000000" w:rsidR="00000000" w:rsidRPr="00000000">
        <w:rPr>
          <w:rtl w:val="1"/>
        </w:rPr>
        <w:t xml:space="preserve">להשוות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והמעדר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והמפעפע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המסקל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הזיתים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לגפנים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בחישת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המכשרת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לזריעה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וכל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להנאת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קרקע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חייב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חורש</w:t>
      </w:r>
      <w:r w:rsidDel="00000000" w:rsidR="00000000" w:rsidRPr="00000000">
        <w:rPr>
          <w:u w:val="singl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1"/>
        </w:rPr>
        <w:t xml:space="preserve">החורש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המנכש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והמקרסם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השריגים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0"/>
        </w:rPr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ליפות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הקרקע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תולדת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חורש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שהשפיל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ורדדו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ושיעורו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u w:val="single"/>
          <w:rtl w:val="1"/>
        </w:rPr>
        <w:t xml:space="preserve">ולא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מחייב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חורש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בקרקע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הראויה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לזריעה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בצונמא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וצונמא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אלמא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היכא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דקרקע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זריעה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מיחייב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חורש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bidi w:val="1"/>
        <w:rPr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להנאת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קרקע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ובכך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יותר</w:t>
      </w:r>
      <w:r w:rsidDel="00000000" w:rsidR="00000000" w:rsidRPr="00000000">
        <w:rPr>
          <w:b w:val="1"/>
          <w:u w:val="single"/>
          <w:rtl w:val="1"/>
        </w:rPr>
        <w:t xml:space="preserve"> [</w:t>
      </w:r>
      <w:r w:rsidDel="00000000" w:rsidR="00000000" w:rsidRPr="00000000">
        <w:rPr>
          <w:b w:val="1"/>
          <w:u w:val="single"/>
          <w:rtl w:val="1"/>
        </w:rPr>
        <w:t xml:space="preserve">טוב</w:t>
      </w:r>
      <w:r w:rsidDel="00000000" w:rsidR="00000000" w:rsidRPr="00000000">
        <w:rPr>
          <w:b w:val="1"/>
          <w:u w:val="single"/>
          <w:rtl w:val="1"/>
        </w:rPr>
        <w:t xml:space="preserve">] </w:t>
      </w:r>
      <w:r w:rsidDel="00000000" w:rsidR="00000000" w:rsidRPr="00000000">
        <w:rPr>
          <w:b w:val="1"/>
          <w:u w:val="single"/>
          <w:rtl w:val="1"/>
        </w:rPr>
        <w:t xml:space="preserve">ליזרע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חייב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משום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חורש</w:t>
      </w: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1"/>
        </w:rPr>
        <w:t xml:space="preserve">החורש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בקרדום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שכלם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באים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לרפות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הארץ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להיותה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ראויה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לזריעה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בתולש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עשבי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לכונת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ריפוי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הקרקע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במקום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הראוי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לכך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גבשושית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והמעדר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המפעפע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והמסקל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שביארנו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בגבשושית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מיוחס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גבשושית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לתיקון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השדה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לזריעה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33401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בונה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וחורש</w:t>
      </w:r>
      <w:r w:rsidDel="00000000" w:rsidR="00000000" w:rsidRPr="00000000">
        <w:rPr>
          <w:b w:val="1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1"/>
        </w:rPr>
        <w:t xml:space="preserve">והחורש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והחורץ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גבשושית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החופר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לעפרה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מקלקל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rtl w:val="1"/>
        </w:rPr>
        <w:t xml:space="preserve">החורץ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חריצין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A">
      <w:pPr>
        <w:bidi w:val="1"/>
        <w:rPr/>
      </w:pP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לרפויי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B">
      <w:pPr>
        <w:bidi w:val="1"/>
        <w:rPr/>
      </w:pPr>
      <w:r w:rsidDel="00000000" w:rsidR="00000000" w:rsidRPr="00000000">
        <w:rPr>
          <w:rtl w:val="1"/>
        </w:rPr>
        <w:t xml:space="preserve">גבשושית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C">
      <w:pPr>
        <w:bidi w:val="1"/>
        <w:rPr/>
      </w:pPr>
      <w:r w:rsidDel="00000000" w:rsidR="00000000" w:rsidRPr="00000000">
        <w:rPr>
          <w:u w:val="single"/>
          <w:rtl w:val="1"/>
        </w:rPr>
        <w:t xml:space="preserve">בבית</w:t>
      </w:r>
      <w:r w:rsidDel="00000000" w:rsidR="00000000" w:rsidRPr="00000000">
        <w:rPr>
          <w:u w:val="single"/>
          <w:rtl w:val="1"/>
        </w:rPr>
        <w:t xml:space="preserve"> - </w:t>
      </w:r>
      <w:r w:rsidDel="00000000" w:rsidR="00000000" w:rsidRPr="00000000">
        <w:rPr>
          <w:u w:val="single"/>
          <w:rtl w:val="1"/>
        </w:rPr>
        <w:t xml:space="preserve">שייך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בנין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קרקעיתו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D">
      <w:pPr>
        <w:bidi w:val="1"/>
        <w:rPr/>
      </w:pP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דמרפי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ארעא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E">
      <w:pPr>
        <w:bidi w:val="1"/>
        <w:rPr/>
      </w:pPr>
      <w:r w:rsidDel="00000000" w:rsidR="00000000" w:rsidRPr="00000000">
        <w:rPr>
          <w:rtl w:val="1"/>
        </w:rPr>
        <w:t xml:space="preserve">גומא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וטממה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רפוי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F">
      <w:pPr>
        <w:bidi w:val="1"/>
        <w:rPr/>
      </w:pP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לעפרה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לכסות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צואה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0">
      <w:pPr>
        <w:bidi w:val="1"/>
        <w:rPr/>
      </w:pP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דקלקול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1">
      <w:pPr>
        <w:bidi w:val="1"/>
        <w:rPr/>
      </w:pP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המצניע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במטה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2">
      <w:pPr>
        <w:bidi w:val="1"/>
        <w:rPr/>
      </w:pP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3">
      <w:pPr>
        <w:bidi w:val="1"/>
        <w:rPr/>
      </w:pPr>
      <w:r w:rsidDel="00000000" w:rsidR="00000000" w:rsidRPr="00000000">
        <w:rPr>
          <w:rtl w:val="1"/>
        </w:rPr>
        <w:t xml:space="preserve">מקלקל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bidi w:val="1"/>
        <w:rPr/>
      </w:pP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חננאל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66">
      <w:pPr>
        <w:bidi w:val="1"/>
        <w:rPr/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6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rPr/>
      </w:pPr>
      <w:r w:rsidDel="00000000" w:rsidR="00000000" w:rsidRPr="00000000">
        <w:rPr>
          <w:rtl w:val="1"/>
        </w:rPr>
        <w:t xml:space="preserve">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9">
      <w:pPr>
        <w:bidi w:val="1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בצונמא</w:t>
      </w:r>
      <w:r w:rsidDel="00000000" w:rsidR="00000000" w:rsidRPr="00000000">
        <w:rPr>
          <w:rtl w:val="1"/>
        </w:rPr>
        <w:t xml:space="preserve">  {</w:t>
      </w:r>
      <w:r w:rsidDel="00000000" w:rsidR="00000000" w:rsidRPr="00000000">
        <w:rPr>
          <w:rtl w:val="0"/>
        </w:rPr>
        <w:t xml:space="preserve">bedrock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לאשוויי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בסמוך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A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33401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