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ריקנים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הדליקה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מתבקעין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ומכבים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שגרם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כיבוי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מותר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וכופין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קערה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תאחז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בקורה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מרדכי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שצט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פורסין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ומגדל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שאחז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הראוים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להתבקע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תכבה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שאחז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נותנין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וראבי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כדפרישית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קלונימוס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עובדיה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הדלקתה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רבינו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יואל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דאפילו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טוב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שרינן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גרם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כיבוי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לכתחלה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במקום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היזק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דוקא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(*</w:t>
      </w:r>
      <w:r w:rsidDel="00000000" w:rsidR="00000000" w:rsidRPr="00000000">
        <w:rPr>
          <w:sz w:val="24"/>
          <w:szCs w:val="24"/>
          <w:rtl w:val="1"/>
        </w:rPr>
        <w:t xml:space="preserve">מבקעין</w:t>
      </w:r>
      <w:r w:rsidDel="00000000" w:rsidR="00000000" w:rsidRPr="00000000">
        <w:rPr>
          <w:sz w:val="24"/>
          <w:szCs w:val="24"/>
          <w:rtl w:val="1"/>
        </w:rPr>
        <w:t xml:space="preserve">) [*</w:t>
      </w:r>
      <w:r w:rsidDel="00000000" w:rsidR="00000000" w:rsidRPr="00000000">
        <w:rPr>
          <w:sz w:val="24"/>
          <w:szCs w:val="24"/>
          <w:rtl w:val="1"/>
        </w:rPr>
        <w:t xml:space="preserve">מכבין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הבקעת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[*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יתעשן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הקדירה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היזק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תשרף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הדליקה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יתבקעו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כשתגיע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הדליקה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דגרם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כיבוי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מותר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u w:val="single"/>
          <w:rtl w:val="1"/>
        </w:rPr>
        <w:t xml:space="preserve">הגה</w:t>
      </w:r>
      <w:r w:rsidDel="00000000" w:rsidR="00000000" w:rsidRPr="00000000">
        <w:rPr>
          <w:u w:val="single"/>
          <w:rtl w:val="1"/>
        </w:rPr>
        <w:t xml:space="preserve">: </w:t>
      </w:r>
      <w:r w:rsidDel="00000000" w:rsidR="00000000" w:rsidRPr="00000000">
        <w:rPr>
          <w:u w:val="single"/>
          <w:rtl w:val="1"/>
        </w:rPr>
        <w:t xml:space="preserve">במקום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פסידא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ומכל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גדותיו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ויניחנו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להרתיח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שירתחו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ויגלשו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ישפכו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ויכבוהו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הגאז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שגרם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לגרמא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זרע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אמת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u w:val="single"/>
          <w:rtl w:val="1"/>
        </w:rPr>
        <w:t xml:space="preserve">שכל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נעשית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בפעולת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האדם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לאחר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משעת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נחשב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לגרמא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בעלמא</w:t>
      </w:r>
      <w:r w:rsidDel="00000000" w:rsidR="00000000" w:rsidRPr="00000000">
        <w:rPr>
          <w:rtl w:val="0"/>
        </w:rPr>
        <w:t xml:space="preserve">…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((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 - (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ותבט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פרומר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קיב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שנשאל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האופים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לצנור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וכשפותחים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הקראהן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הברז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הנחסרים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ומתבשלים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שיכנסו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צוננים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ויתבשלו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שפתיחת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המונע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בחולין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טז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דכפתיה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ופרש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שקשרו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וגרמא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שהרי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שיוצאים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החבית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שעי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ז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חלל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ריק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בחבית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שיכנסו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לתוכו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אחרים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הסרת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המונע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בפתיחת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הברז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שלמטה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לפלפל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בגרמא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תקיד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המרדכי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שאוסר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מפראג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אריה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עכת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ובעיקר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דהסרת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הברזא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מסיר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המונע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והמים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נמשכין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מאליהן</w:t>
      </w:r>
      <w:r w:rsidDel="00000000" w:rsidR="00000000" w:rsidRPr="00000000">
        <w:rPr>
          <w:u w:val="singl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בהשמטות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מד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והמחזה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נב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גרינפלד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קה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בנידונו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עובדא</w:t>
      </w:r>
      <w:r w:rsidDel="00000000" w:rsidR="00000000" w:rsidRPr="00000000">
        <w:rPr>
          <w:rtl w:val="1"/>
        </w:rPr>
        <w:t xml:space="preserve">. ))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הזזת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אוטומטי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נדרשתי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אוטומטי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משתמשים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שיזיז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ab/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דבהזזת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המחוג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הבורג</w:t>
      </w:r>
      <w:r w:rsidDel="00000000" w:rsidR="00000000" w:rsidRPr="00000000">
        <w:rPr>
          <w:rtl w:val="1"/>
        </w:rPr>
        <w:t xml:space="preserve">],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מתחיל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לאחר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זמן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יתחממו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ויתבקעו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משא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הכא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בשעה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מזיז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המחוג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הטבלה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מסתובבת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והמחוג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מתחיל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תיכף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להתקרב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למקום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הכיבוי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דומה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לשופך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במקום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מדרון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רחוק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ממקום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השריפה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כששופך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מתחילים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תיכף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לירד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למקום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הנמוך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ולהתקרב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לכבותה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בידים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דבנד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שבלא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שבפעולתו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כבוי</w:t>
      </w:r>
      <w:r w:rsidDel="00000000" w:rsidR="00000000" w:rsidRPr="00000000">
        <w:rPr>
          <w:rtl w:val="1"/>
        </w:rPr>
        <w:t xml:space="preserve">],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שבנד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לסמוך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גרמא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דשרי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במקום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פסידא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,((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שרגילים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ולהחזירו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.)) </w:t>
      </w:r>
      <w:r w:rsidDel="00000000" w:rsidR="00000000" w:rsidRPr="00000000">
        <w:rPr>
          <w:u w:val="single"/>
          <w:rtl w:val="1"/>
        </w:rPr>
        <w:t xml:space="preserve">אולם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להזיז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המחוג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כדי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לאחר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הכבוי</w:t>
      </w:r>
      <w:r w:rsidDel="00000000" w:rsidR="00000000" w:rsidRPr="00000000">
        <w:rPr>
          <w:rtl w:val="0"/>
        </w:rPr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נראה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לכאורה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וכלל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שבפעולתו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מונע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הכבוי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ומניעת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הכבוי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בנר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לדוחף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F">
      <w:pPr>
        <w:bidi w:val="1"/>
        <w:ind w:firstLine="72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((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שמלאכתו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הכיבוי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שמלאכתו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ומוקצה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שמקפיד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ומקפיד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ממקומו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0">
      <w:pPr>
        <w:bidi w:val="1"/>
        <w:ind w:firstLine="72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((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הזזת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ההדלקה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כשמרפה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כבוי</w:t>
      </w:r>
      <w:r w:rsidDel="00000000" w:rsidR="00000000" w:rsidRPr="00000000">
        <w:rPr>
          <w:rtl w:val="1"/>
        </w:rPr>
        <w:t xml:space="preserve">, /</w:t>
      </w:r>
      <w:r w:rsidDel="00000000" w:rsidR="00000000" w:rsidRPr="00000000">
        <w:rPr>
          <w:rtl w:val="1"/>
        </w:rPr>
        <w:t xml:space="preserve">הערת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המחבר</w:t>
      </w:r>
      <w:r w:rsidDel="00000000" w:rsidR="00000000" w:rsidRPr="00000000">
        <w:rPr>
          <w:rtl w:val="1"/>
        </w:rPr>
        <w:t xml:space="preserve">/ +</w:t>
      </w:r>
      <w:r w:rsidDel="00000000" w:rsidR="00000000" w:rsidRPr="00000000">
        <w:rPr>
          <w:rtl w:val="1"/>
        </w:rPr>
        <w:t xml:space="preserve">וראה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כהלכתה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.+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רבוואתי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ועיי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. ))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דשחט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ננקוט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בהפעלת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 ….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ועיקר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הברזא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נמשכים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זכוכית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שיכנסו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שחוצץ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כגרמא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...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u w:val="single"/>
          <w:rtl w:val="1"/>
        </w:rPr>
        <w:t xml:space="preserve">אולם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לענ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הרבה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לחדירת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רציחה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רחיצה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ונטילת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ככחו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כך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לענין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לחשוב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הסרת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המונע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כסילוק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תריס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בעלמא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לכניסת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כניסת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768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