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דכפתיה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לחבריה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ומיחייב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זרק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למעלה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והרגה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! {</w:t>
      </w:r>
      <w:r w:rsidDel="00000000" w:rsidR="00000000" w:rsidRPr="00000000">
        <w:rPr>
          <w:sz w:val="28"/>
          <w:szCs w:val="28"/>
          <w:rtl w:val="1"/>
        </w:rPr>
        <w:t xml:space="preserve">עח</w:t>
      </w:r>
      <w:r w:rsidDel="00000000" w:rsidR="00000000" w:rsidRPr="00000000">
        <w:rPr>
          <w:sz w:val="28"/>
          <w:szCs w:val="28"/>
          <w:rtl w:val="1"/>
        </w:rPr>
        <w:t xml:space="preserve">.} - </w:t>
      </w:r>
      <w:r w:rsidDel="00000000" w:rsidR="00000000" w:rsidRPr="00000000">
        <w:rPr>
          <w:sz w:val="28"/>
          <w:szCs w:val="28"/>
          <w:rtl w:val="1"/>
        </w:rPr>
        <w:t xml:space="preserve">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לתחת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דכפתיה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ורגליו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הפנה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גיריה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חציו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כזורק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וכדמפרש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סמוך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והשפה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מדרון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כשפינה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נפלו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רחוק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קצת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בצאתו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מגדרותיהן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נפילתה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כשהיא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מתרחקת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נוכחה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והרגה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מאליה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לתחת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תפול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חזק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הזריקה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והאבן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רמ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דכפתיה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לחבריה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כדאמרינן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התם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הוו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שקילי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ואזלי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באורחא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בדאזלי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עסיקינן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ונטלו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ונמצאו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מאיליהן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זרק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חץ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ותריס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בידו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ובא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זה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ונטלו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ואפילו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הוא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קדם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ונטלו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פטור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דבעידנא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דשדא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מפסק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פסיקי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גירי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דשדא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תקשי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דאע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דמחשב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u w:val="single"/>
          <w:rtl w:val="1"/>
        </w:rPr>
        <w:t xml:space="preserve">[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כיון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דמחמת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]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מעשה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דידיה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קאזלי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ככחו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דמי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דהא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גיריה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קאזלי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לאו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מחמת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כחו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אזלי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אלא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מחמת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דשביק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ליתרה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קשת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ואזלי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גירי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ממילא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ומיחייב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עלייהו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דקאמר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ומיחייב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לזרק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ותריס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סלקיה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לתריס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מיקמי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דנימטי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דסליקיה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דמטא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מסליק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לתריס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מיקטיל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ודאי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כרחיך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בדסלקיה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מקמי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דנמטי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לגביה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עסקינן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ואמטול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דכי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סלקיה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לאו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עבד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הורג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סלקיה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לעפרא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הוו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נגעי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בההוא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עפרא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גופיה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סלקיה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לעפר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גירי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דידיה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[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ואמטול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תדע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כדאמרינן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סלקיה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בינתיים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דמיעקרו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מדוכתייהו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חילוק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סילוק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הדבר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ואינון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דמיקרבי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אבל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דאתו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בתר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הכי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כדפרשינן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ואיכא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לפרושי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והני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מילי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בכח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ראשון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שהמים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היורדין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בשע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שפינה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להן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דרך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עמדו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שהגיעו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לאיש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הכפות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שעיכבן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ולסוף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נמשכו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מאליהן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והלכו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כדאמרינן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והעליה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קי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דכל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דתימי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פירושי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מעליי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דתרוייהו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אליבא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דהילכתא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סלקי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דמיעקרי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איעכבו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באורחא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דאע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דגמרא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ואידך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בהדיא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כרחיך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אצטריך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לפרושיה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מיהו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פירושא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דלפירושא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קצבה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דכולהו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דסמיכי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להדדי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גופא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דמפרשי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סמוך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והשפה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מדרון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כשפינה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דחוק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רחוק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בצאתם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מגדותיהן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מכחו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דקאמרינן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דגיריה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נינהו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לאלתר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זמן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הבחירה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למאירי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חבירו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והפנה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כך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סמוך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נהרג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רחוק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182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