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שביתת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השבת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המצוות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והמצוה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תשבות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נרשם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קנז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יתעלה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שהשביתה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המלאכות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בהמתנו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ועבדינו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והמצוה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שהזהירנו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]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סמ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ק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(...</w:t>
      </w:r>
      <w:r w:rsidDel="00000000" w:rsidR="00000000" w:rsidRPr="00000000">
        <w:rPr>
          <w:rtl w:val="1"/>
        </w:rPr>
        <w:t xml:space="preserve">ומחמר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אזהרת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דבמחמר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'.... )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]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רס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פערלא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ועבדיך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]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מאיזה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נלמד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העשה</w:t>
      </w:r>
      <w:r w:rsidDel="00000000" w:rsidR="00000000" w:rsidRPr="00000000">
        <w:rPr>
          <w:b w:val="1"/>
          <w:rtl w:val="1"/>
        </w:rPr>
        <w:t xml:space="preserve">?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שבתון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שבות</w:t>
      </w:r>
      <w:r w:rsidDel="00000000" w:rsidR="00000000" w:rsidRPr="00000000">
        <w:rPr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מיתיבי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שישגוג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ואוקימנא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דשבתון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ותשבות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נחזור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לעשה</w:t>
      </w:r>
      <w:r w:rsidDel="00000000" w:rsidR="00000000" w:rsidRPr="00000000">
        <w:rPr>
          <w:rtl w:val="1"/>
        </w:rPr>
        <w:t xml:space="preserve">]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מכילתא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רוכבין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מגביהין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שבתון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בדאיסי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ושמרתם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רעד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קב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מחללי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תשמורו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צוה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והזהיר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בעשרת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שישמרו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העשה</w:t>
      </w:r>
      <w:r w:rsidDel="00000000" w:rsidR="00000000" w:rsidRPr="00000000">
        <w:rPr>
          <w:b w:val="1"/>
          <w:rtl w:val="1"/>
        </w:rPr>
        <w:t xml:space="preserve">?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שבתון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שבות</w:t>
      </w:r>
      <w:r w:rsidDel="00000000" w:rsidR="00000000" w:rsidRPr="00000000">
        <w:rPr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מיתיבי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דבמחמר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והנכון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השמטות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בחנותו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הכתובי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שנצטוינו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והשולחנים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והזהובים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הפועלי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משכימי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למלאכתן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בנחמי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קפיטל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ועמ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דיבמו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דס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וכרת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אשכחן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דכתיבי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כגון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זכור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ושמור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איירי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לקדשו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בשאר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קדושות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מעמד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שבותים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שבותים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שמתנגדים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If you’re puzzled by the fact that we’re talking about the status of the gezerot dirabanan, you should be:)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מיתיבי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מפצעין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באגוזים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ומפרכסין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ושבתון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משמע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ולמאי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בתלוש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דמידי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דשבתון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דמדאורייתא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מלהתענות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מדסמכינן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לועניתם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לרחיצה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לעינוי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מחרפי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מקדימין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וק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), [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[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דאורייתא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ומסרו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לחכמים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ופרטיהן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מדרבנ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דליתסר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ובמכילתא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ידרשו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ותולדותיהן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אסמכתא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בלשונם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האסמכתות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שנצטוינו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והשלחנים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והזהובים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ומשכירין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לכך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תורה</w:t>
      </w:r>
      <w:r w:rsidDel="00000000" w:rsidR="00000000" w:rsidRPr="00000000">
        <w:rPr>
          <w:u w:val="single"/>
          <w:rtl w:val="1"/>
        </w:rPr>
        <w:t xml:space="preserve"> "</w:t>
      </w:r>
      <w:r w:rsidDel="00000000" w:rsidR="00000000" w:rsidRPr="00000000">
        <w:rPr>
          <w:u w:val="single"/>
          <w:rtl w:val="1"/>
        </w:rPr>
        <w:t xml:space="preserve">שבתון</w:t>
      </w:r>
      <w:r w:rsidDel="00000000" w:rsidR="00000000" w:rsidRPr="00000000">
        <w:rPr>
          <w:u w:val="single"/>
          <w:rtl w:val="1"/>
        </w:rPr>
        <w:t xml:space="preserve">" </w:t>
      </w:r>
      <w:r w:rsidDel="00000000" w:rsidR="00000000" w:rsidRPr="00000000">
        <w:rPr>
          <w:u w:val="single"/>
          <w:rtl w:val="1"/>
        </w:rPr>
        <w:t xml:space="preserve">שיהיה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שביתה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ומנוחה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טורח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נ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- </w:t>
      </w:r>
      <w:r w:rsidDel="00000000" w:rsidR="00000000" w:rsidRPr="00000000">
        <w:rPr>
          <w:u w:val="single"/>
          <w:rtl w:val="1"/>
        </w:rPr>
        <w:t xml:space="preserve">האם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ידיעת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נחשב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כידיעת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חיובי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קרבן</w:t>
      </w:r>
      <w:r w:rsidDel="00000000" w:rsidR="00000000" w:rsidRPr="00000000">
        <w:rPr>
          <w:u w:val="single"/>
          <w:rtl w:val="1"/>
        </w:rPr>
        <w:t xml:space="preserve">? 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שנתגייר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…(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בזדון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ושגגת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שישגוג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ובכרת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דידעה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1"/>
        </w:rPr>
        <w:t xml:space="preserve">מנינא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ליתנינהו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וסימנא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אשמעינן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דמיחייב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ושגגת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ושגגת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וזדון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יודע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מהלכותיה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בחדא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מינייהו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חלוק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משאר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בלאוין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ושגגת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בכריתות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בתחומין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בקרבן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1"/>
        </w:rPr>
        <w:t xml:space="preserve">ואליבא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סוטה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בתחומין</w:t>
      </w:r>
      <w:r w:rsidDel="00000000" w:rsidR="00000000" w:rsidRPr="00000000">
        <w:rPr>
          <w:rtl w:val="1"/>
        </w:rPr>
        <w:t xml:space="preserve"> - ...</w:t>
      </w:r>
      <w:r w:rsidDel="00000000" w:rsidR="00000000" w:rsidRPr="00000000">
        <w:rPr>
          <w:u w:val="single"/>
          <w:rtl w:val="1"/>
        </w:rPr>
        <w:t xml:space="preserve">תימה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דאמאי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דידע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דכתיב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וביום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השביעי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תשבות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למימר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דידע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דידע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בהבערה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ואליבא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יוסי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הבערה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יצאתה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במחמר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בהמתו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ובמחמר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שישגוג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יודע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שוגג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שגגה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ואוקימנא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בידו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לפרש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דסמיך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תעשינה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עיקר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1"/>
        </w:rPr>
        <w:t xml:space="preserve">וריש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שישגוג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שישגוג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בשגגה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נ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- </w:t>
      </w:r>
      <w:r w:rsidDel="00000000" w:rsidR="00000000" w:rsidRPr="00000000">
        <w:rPr>
          <w:u w:val="single"/>
          <w:rtl w:val="1"/>
        </w:rPr>
        <w:t xml:space="preserve">קניבת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כיפורים</w:t>
      </w:r>
    </w:p>
    <w:p w:rsidR="00000000" w:rsidDel="00000000" w:rsidP="00000000" w:rsidRDefault="00000000" w:rsidRPr="00000000" w14:paraId="0000009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הקינוב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המעופשות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מפצעין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באגוזין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ובפציעת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1"/>
        </w:rPr>
        <w:t xml:space="preserve">ואגב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אעינוי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להתרצן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אעינוי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2260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