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שיסמכו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חגיגות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והמעילות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מרובות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הדינין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והעבודות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הטהרות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והטמאות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שיסמכו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גמ</w:t>
      </w:r>
      <w:r w:rsidDel="00000000" w:rsidR="00000000" w:rsidRPr="00000000">
        <w:rPr>
          <w:rtl w:val="1"/>
        </w:rPr>
        <w:t xml:space="preserve">....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כתיבן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מתקן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מקלקל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בשערה</w:t>
      </w:r>
      <w:r w:rsidDel="00000000" w:rsidR="00000000" w:rsidRPr="00000000">
        <w:rPr>
          <w:rtl w:val="1"/>
        </w:rPr>
        <w:t xml:space="preserve">?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הנבלה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וכעדשה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השרץ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לקיש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- </w:t>
      </w:r>
      <w:r w:rsidDel="00000000" w:rsidR="00000000" w:rsidRPr="00000000">
        <w:rPr>
          <w:rtl w:val="1"/>
        </w:rPr>
        <w:t xml:space="preserve">מהו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דתימא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ולחפור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בדרוקרא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לאפוקיה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לכרמלית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יצחק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כמאן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האלהים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דעיילת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שרי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לכרמלית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קאמינא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משנה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ומטמא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להציל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לסלקה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-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דברצונו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0"/>
        </w:rPr>
        <w:t xml:space="preserve">shovel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המוציא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ולחפור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שנרצף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להגיה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ולקרות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בהוצאתו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בקבורתו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היזק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בגופה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כבוי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וגחלים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להדליקם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והמוציא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ריח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ששנינו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בפרק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עקיבא</w:t>
      </w:r>
      <w:r w:rsidDel="00000000" w:rsidR="00000000" w:rsidRPr="00000000">
        <w:rPr>
          <w:u w:val="single"/>
          <w:rtl w:val="1"/>
        </w:rPr>
        <w:t xml:space="preserve"> (</w:t>
      </w:r>
      <w:r w:rsidDel="00000000" w:rsidR="00000000" w:rsidRPr="00000000">
        <w:rPr>
          <w:u w:val="single"/>
          <w:rtl w:val="1"/>
        </w:rPr>
        <w:t xml:space="preserve">צ</w:t>
      </w:r>
      <w:r w:rsidDel="00000000" w:rsidR="00000000" w:rsidRPr="00000000">
        <w:rPr>
          <w:u w:val="single"/>
          <w:rtl w:val="1"/>
        </w:rPr>
        <w:t xml:space="preserve">'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') </w:t>
      </w:r>
      <w:r w:rsidDel="00000000" w:rsidR="00000000" w:rsidRPr="00000000">
        <w:rPr>
          <w:u w:val="single"/>
          <w:rtl w:val="1"/>
        </w:rPr>
        <w:t xml:space="preserve">שהוא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אף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שמעון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רפואה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ודכוותה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ישכנו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חשיבא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כחס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[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. +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.+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דנפל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לתלשו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לקוברו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בידיעה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ביריעה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דקורעין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ותופרין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) [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:)</w:t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A">
      <w:pPr>
        <w:bidi w:val="1"/>
        <w:rPr/>
      </w:pP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לגופה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כשעושה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לאותו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צורך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כעין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צריכין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במשכן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ושורשו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לחפצים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להכניס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המזיקין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הנשחטים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לעפרה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יטנפו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ראיותיו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המהובהבת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הצורפין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יקדיחו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הסממנין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בבישולן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בשמעתין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הנקרע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דבהוצאה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במקלקלים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מסתברא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המקלקלים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הוצרך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ורש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דפירש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דברצונו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צריך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שאינה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לסלקה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מעליו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גחלת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יזוקו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דברצונו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בעולם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מדליקין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:) </w:t>
      </w:r>
      <w:r w:rsidDel="00000000" w:rsidR="00000000" w:rsidRPr="00000000">
        <w:rPr>
          <w:rtl w:val="1"/>
        </w:rPr>
        <w:t xml:space="preserve">פירש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המהובהבת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הובערה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אאינשי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דביתיה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שיצטרך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למירמי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דברצונו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קורע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יריעה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שנפל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מנת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לתפור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דברצונו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נופל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תופר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ברצונו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קרוע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כדפירשתי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rPr/>
      </w:pPr>
      <w:r w:rsidDel="00000000" w:rsidR="00000000" w:rsidRPr="00000000">
        <w:rPr>
          <w:rtl w:val="1"/>
        </w:rPr>
        <w:t xml:space="preserve">פסקי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0"/>
        </w:rPr>
        <w:t xml:space="preserve">----------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יהודה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חייב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בכוונה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דגש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המעשה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דגש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עבירה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שמעון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פטור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במחשבה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הנכונה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דגש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המחשבה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הגדרה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לסלק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ברצונו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הבנת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מזכיר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משצ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לג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כנראה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שעדיין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בסוף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משהוא</w:t>
      </w:r>
      <w:r w:rsidDel="00000000" w:rsidR="00000000" w:rsidRPr="00000000">
        <w:rPr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המשכן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תוספות</w:t>
      </w:r>
    </w:p>
    <w:p w:rsidR="00000000" w:rsidDel="00000000" w:rsidP="00000000" w:rsidRDefault="00000000" w:rsidRPr="00000000" w14:paraId="00000049">
      <w:pPr>
        <w:bidi w:val="1"/>
        <w:ind w:right="108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A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B">
      <w:pPr>
        <w:bidi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הגדרה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משפטי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רש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הנאה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נהנה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עכשיו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מהמלאכה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מסריח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שיפסיק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להנאה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הרשב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ברצונו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יקרה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ולכן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תוספות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מנזק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ליריעות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bidi w:val="1"/>
        <w:ind w:left="720" w:hanging="360"/>
      </w:pP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צורך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בצידת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הנחש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להרחיקו</w:t>
      </w:r>
      <w:r w:rsidDel="00000000" w:rsidR="00000000" w:rsidRPr="00000000">
        <w:rPr>
          <w:sz w:val="24"/>
          <w:szCs w:val="24"/>
          <w:rtl w:val="1"/>
        </w:rPr>
        <w:t xml:space="preserve">\</w:t>
      </w:r>
      <w:r w:rsidDel="00000000" w:rsidR="00000000" w:rsidRPr="00000000">
        <w:rPr>
          <w:sz w:val="24"/>
          <w:szCs w:val="24"/>
          <w:rtl w:val="1"/>
        </w:rPr>
        <w:t xml:space="preserve">לצוד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בניגוד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שהתיקון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המטרה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יריעה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נזק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רוצה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בתוצאה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הסופית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bidi w:val="1"/>
        <w:ind w:left="1440" w:hanging="360"/>
      </w:pP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מסריח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. (</w:t>
      </w:r>
      <w:r w:rsidDel="00000000" w:rsidR="00000000" w:rsidRPr="00000000">
        <w:rPr>
          <w:sz w:val="24"/>
          <w:szCs w:val="24"/>
          <w:rtl w:val="1"/>
        </w:rPr>
        <w:t xml:space="preserve">וזה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הריטב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