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והפוצעו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פציעה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פציעה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קסברי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שפצעו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שפצעו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אביי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ורבא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דאמרי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תרווייהו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מודה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שמעון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ימות</w:t>
      </w:r>
      <w:r w:rsidDel="00000000" w:rsidR="00000000" w:rsidRPr="00000000">
        <w:rPr>
          <w:u w:val="single"/>
          <w:rtl w:val="1"/>
        </w:rPr>
        <w:t xml:space="preserve">! - </w:t>
      </w:r>
      <w:r w:rsidDel="00000000" w:rsidR="00000000" w:rsidRPr="00000000">
        <w:rPr>
          <w:u w:val="single"/>
          <w:rtl w:val="1"/>
        </w:rPr>
        <w:t xml:space="preserve">שאני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הכא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דכמה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נשמה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טפי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ציבעיה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מודה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שמעון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איכפת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מיתרמי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איכווני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מיכוין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דליציל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גרסינן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צלולה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… </w:t>
      </w:r>
      <w:r w:rsidDel="00000000" w:rsidR="00000000" w:rsidRPr="00000000">
        <w:rPr>
          <w:rtl w:val="1"/>
        </w:rPr>
        <w:t xml:space="preserve">ומתעסק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ציבעי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הנחנקין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דניחא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איכפת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הבונה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דחגיגה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צריכה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לגופה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דחבריה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בערוך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ערך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סבר</w:t>
      </w:r>
      <w:r w:rsidDel="00000000" w:rsidR="00000000" w:rsidRPr="00000000">
        <w:rPr>
          <w:u w:val="single"/>
          <w:rtl w:val="1"/>
        </w:rPr>
        <w:t xml:space="preserve">) </w:t>
      </w:r>
      <w:r w:rsidDel="00000000" w:rsidR="00000000" w:rsidRPr="00000000">
        <w:rPr>
          <w:u w:val="single"/>
          <w:rtl w:val="1"/>
        </w:rPr>
        <w:t xml:space="preserve">דבפסיק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כגון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דקעביד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בארעא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דחבריה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וכגון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אוהבו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והקוצץ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לכתחילה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שפקקוהו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נראה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בהנחנקין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התדיר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המתנדב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ומזלפו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שמזלפו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הגזול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הושענא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הושענא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מודי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הושענא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להאי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הלכך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תיקון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לאכשורה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מיחם</w:t>
      </w:r>
      <w:r w:rsidDel="00000000" w:rsidR="00000000" w:rsidRPr="00000000">
        <w:rPr>
          <w:rtl w:val="1"/>
        </w:rPr>
        <w:t xml:space="preserve">…..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והויא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צריכה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מסוביתא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דחביתא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שענביו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הושענא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הושענא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גחלים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והובערו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מסוביתא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לקירוייה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נעתקת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מוצא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ונגררת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לכתחלה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u w:val="single"/>
          <w:rtl w:val="1"/>
        </w:rPr>
        <w:t xml:space="preserve">נמצא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לשיטה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לכתחילה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לכתחילה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שמעון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וצריך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שמעון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לכתחילה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לדעת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ש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פסיק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רישא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בדרבנן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מוציאו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ולהכניסו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טומנין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/,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חיזוק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פיתחא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דתרנגולים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נוכל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שרי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דבאיסור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לחלק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גמור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לפסיק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רישיה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כדאיתא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בתשובת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במרדכי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הזורק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u w:val="single"/>
          <w:rtl w:val="1"/>
        </w:rPr>
        <w:t xml:space="preserve">אמנם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סכין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התקוע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בחבית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איירי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שהוציאוהו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והכניסוהו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בחול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שיוסיף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בנקב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מסכינא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נוקבין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דגזור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חבית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להרחיבו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שנתרועעה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תקוע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דעיקר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דשרי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לזה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במלתא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דרבנן</w:t>
      </w:r>
      <w:r w:rsidDel="00000000" w:rsidR="00000000" w:rsidRPr="00000000">
        <w:rPr>
          <w:u w:val="single"/>
          <w:rtl w:val="1"/>
        </w:rPr>
        <w:t xml:space="preserve">…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שאצל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כותל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שרצים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אלמא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דפ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ולפ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ניחא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דהתם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דאורייתא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דבכה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סחיטה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ת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בעושה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כדרכו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שאפי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מדרבנן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שרי</w:t>
      </w:r>
      <w:r w:rsidDel="00000000" w:rsidR="00000000" w:rsidRPr="00000000">
        <w:rPr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פקפוק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לפקפק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כהפו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בדרבנן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. )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תניינא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u w:val="single"/>
          <w:rtl w:val="1"/>
        </w:rPr>
        <w:t xml:space="preserve">שהנה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במלאכות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ענינים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שאסרום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חכמים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שדומות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קצת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דאו</w:t>
      </w:r>
      <w:r w:rsidDel="00000000" w:rsidR="00000000" w:rsidRPr="00000000">
        <w:rPr>
          <w:u w:val="single"/>
          <w:rtl w:val="1"/>
        </w:rPr>
        <w:t xml:space="preserve">', </w:t>
      </w:r>
      <w:r w:rsidDel="00000000" w:rsidR="00000000" w:rsidRPr="00000000">
        <w:rPr>
          <w:u w:val="single"/>
          <w:rtl w:val="1"/>
        </w:rPr>
        <w:t xml:space="preserve">ואם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נתיר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יתירו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דאו</w:t>
      </w:r>
      <w:r w:rsidDel="00000000" w:rsidR="00000000" w:rsidRPr="00000000">
        <w:rPr>
          <w:u w:val="single"/>
          <w:rtl w:val="1"/>
        </w:rPr>
        <w:t xml:space="preserve">', </w:t>
      </w:r>
      <w:r w:rsidDel="00000000" w:rsidR="00000000" w:rsidRPr="00000000">
        <w:rPr>
          <w:u w:val="single"/>
          <w:rtl w:val="1"/>
        </w:rPr>
        <w:t xml:space="preserve">ולכן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גזרו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חכמים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לאסרם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שבעצמותם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נחשבו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מדרבנן</w:t>
      </w:r>
      <w:r w:rsidDel="00000000" w:rsidR="00000000" w:rsidRPr="00000000">
        <w:rPr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הסוג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הראשון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בדברים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גזרה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נתיר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דאו</w:t>
      </w:r>
      <w:r w:rsidDel="00000000" w:rsidR="00000000" w:rsidRPr="00000000">
        <w:rPr>
          <w:u w:val="single"/>
          <w:rtl w:val="1"/>
        </w:rPr>
        <w:t xml:space="preserve">', </w:t>
      </w:r>
      <w:r w:rsidDel="00000000" w:rsidR="00000000" w:rsidRPr="00000000">
        <w:rPr>
          <w:u w:val="single"/>
          <w:rtl w:val="1"/>
        </w:rPr>
        <w:t xml:space="preserve">כשאינו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מהיכא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לחוש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דאורייתא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ופשיטא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דמותר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בהרחבת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ולהוציא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לכרמלית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בכוונתו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הקושיא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מסוכה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לג</w:t>
      </w:r>
      <w:r w:rsidDel="00000000" w:rsidR="00000000" w:rsidRPr="00000000">
        <w:rPr>
          <w:u w:val="single"/>
          <w:rtl w:val="1"/>
        </w:rPr>
        <w:t xml:space="preserve">:), </w:t>
      </w:r>
      <w:r w:rsidDel="00000000" w:rsidR="00000000" w:rsidRPr="00000000">
        <w:rPr>
          <w:u w:val="single"/>
          <w:rtl w:val="1"/>
        </w:rPr>
        <w:t xml:space="preserve">שאני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דחכמים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החשיבו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מיעוט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ענביו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כמתקן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ומש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דתקון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כעין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דאו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תקון</w:t>
      </w:r>
      <w:r w:rsidDel="00000000" w:rsidR="00000000" w:rsidRPr="00000000">
        <w:rPr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בביצה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)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פסיק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רישא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ניחא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בדרבנן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דחבריה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בערוך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והקוצץ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…..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…. </w:t>
      </w:r>
      <w:r w:rsidDel="00000000" w:rsidR="00000000" w:rsidRPr="00000000">
        <w:rPr>
          <w:rtl w:val="1"/>
        </w:rPr>
        <w:t xml:space="preserve">ובפרק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הגזול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הושענא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הושענא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גזרו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חכמים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נהנה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באמירה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לגוי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נוהגין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שמטמינים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ומושיבין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ונרתחים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צט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אדלעיל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באמירה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יהודי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דלית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מעשה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מחמרינן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רישא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937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