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פסיקי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רישא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שימיתהו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-...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המתנדב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"} </w:t>
      </w:r>
      <w:r w:rsidDel="00000000" w:rsidR="00000000" w:rsidRPr="00000000">
        <w:rPr>
          <w:rtl w:val="1"/>
        </w:rPr>
        <w:t xml:space="preserve">ומוקי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האש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דמזליף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בטיפין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בטיפים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גסות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ובירושלמי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) </w:t>
      </w:r>
      <w:r w:rsidDel="00000000" w:rsidR="00000000" w:rsidRPr="00000000">
        <w:rPr>
          <w:b w:val="1"/>
          <w:u w:val="single"/>
          <w:rtl w:val="1"/>
        </w:rPr>
        <w:t xml:space="preserve">נראה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שהתירו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לנעול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לכתחלה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שבתוכו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ניצוד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ממילא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ובלבד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יתכוין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כמתכוין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מגמתו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להריגת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….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ושמחשבתו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בעשיית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ולפיכך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חטאת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להמיתו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שומעין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שמתברר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מעשין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אומרין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כוונתו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תרכד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כמכון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שיודע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כמכוון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במציאות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תכלית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הפעולה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u w:val="single"/>
          <w:rtl w:val="1"/>
        </w:rPr>
        <w:t xml:space="preserve">הטעם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העיקרי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בפסיק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שבאופן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נקראת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כונת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כשחותך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הריגה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הפעולה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נקראת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מתחשבת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הכרעת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אדם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ספיקות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אצל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….)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ספק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רישא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לשעבר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זבובים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הנעילה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הניצוד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כסברתנו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ובעניננו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המאירי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בספק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דלשעבר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921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