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פסיקי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רישא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יאשיה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נצרכא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תרוייהו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חננאל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להמיתו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שימיתהו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שודאי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להריגת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דחבריה</w:t>
      </w:r>
      <w:r w:rsidDel="00000000" w:rsidR="00000000" w:rsidRPr="00000000">
        <w:rPr>
          <w:rtl w:val="1"/>
        </w:rPr>
        <w:t xml:space="preserve"> -...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התדיר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זבחים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צא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המתנדב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ומזלפו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מכבה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ואש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תכבה</w:t>
      </w:r>
      <w:r w:rsidDel="00000000" w:rsidR="00000000" w:rsidRPr="00000000">
        <w:rPr>
          <w:rtl w:val="1"/>
        </w:rPr>
        <w:t xml:space="preserve">"} </w:t>
      </w:r>
      <w:r w:rsidDel="00000000" w:rsidR="00000000" w:rsidRPr="00000000">
        <w:rPr>
          <w:rtl w:val="1"/>
        </w:rPr>
        <w:t xml:space="preserve">ומוקי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שמזלפו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אפשר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יכבה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האש</w:t>
      </w: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למיעקר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אפשר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דמזליף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בטיפין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דקות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מאד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הלכך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נמי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מכבה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בטיפים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גסות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מתכוין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תוספתא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למחשבה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למתכסה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צפורת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למחשבה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דפטור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ומותר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בצידתו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בצידתו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ובירושלמי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b w:val="1"/>
          <w:u w:val="single"/>
          <w:rtl w:val="1"/>
        </w:rPr>
        <w:t xml:space="preserve">ה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ו</w:t>
      </w:r>
      <w:r w:rsidDel="00000000" w:rsidR="00000000" w:rsidRPr="00000000">
        <w:rPr>
          <w:b w:val="1"/>
          <w:u w:val="single"/>
          <w:rtl w:val="1"/>
        </w:rPr>
        <w:t xml:space="preserve">) </w:t>
      </w:r>
      <w:r w:rsidDel="00000000" w:rsidR="00000000" w:rsidRPr="00000000">
        <w:rPr>
          <w:b w:val="1"/>
          <w:u w:val="single"/>
          <w:rtl w:val="1"/>
        </w:rPr>
        <w:t xml:space="preserve">נראה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שהתירו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לנעול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לכתחלה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ביתו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לשמור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ביתו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וצבי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שבתוכו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דכיון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שהוא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צריך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לשמור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ביתו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ידי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ניצוד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הצבי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ממילא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מותר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ובלבד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יתכוין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לשמור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הצבי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בלבד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גרסינן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תינוק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להעלותו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להעלותו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