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כובשת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) +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: [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]+,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כובשת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שכובשת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בגרירתה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הדרן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ופליגא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בקטנים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לתרוייהו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והצנועין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לאחוריהן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כצנועין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תיובתא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תיובתא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כנישתא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מפטיר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ותינוקות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דבצרה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בבצרה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ישעיה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בטלטול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וקתני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פלוגתייהו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לובשו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הלובשים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דלבישה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דמיתהני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u w:val="single"/>
          <w:rtl w:val="1"/>
        </w:rPr>
        <w:t xml:space="preserve">ור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דאזיל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כוונה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והצנועים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שמרחיקין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והצנועין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לאחוריהן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לכתחילה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ופתילה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והצנועים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במקל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לגנוב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המכס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מברטנורא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לכלאים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דלבישת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הכלאים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לובש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וסתם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סברה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ופליגא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אאידך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סתמא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דתנן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מוכרי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כסות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מוכרין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כדרכן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apporach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broader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scope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serious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reason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either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genuinely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extreme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genuinely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constitute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regular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something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absolutely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permitted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problem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ושאר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מקרים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נקטינהו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שאילתות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דסבירא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ובארצכם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 - ...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דעקרתא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ומפספס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יסתרס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ושגגת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סקילה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…..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שיטת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יהודה</w:t>
      </w:r>
    </w:p>
    <w:p w:rsidR="00000000" w:rsidDel="00000000" w:rsidP="00000000" w:rsidRDefault="00000000" w:rsidRPr="00000000" w14:paraId="0000004C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מיחם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: ….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דאסר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צירוף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צירעה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רוק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דורסו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עקרב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דורסו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ויהרגנו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בדריכתו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}.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דליצלח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צבעיה</w:t>
      </w:r>
      <w:r w:rsidDel="00000000" w:rsidR="00000000" w:rsidRPr="00000000">
        <w:rPr>
          <w:rtl w:val="1"/>
        </w:rPr>
        <w:t xml:space="preserve">…..</w:t>
      </w:r>
      <w:r w:rsidDel="00000000" w:rsidR="00000000" w:rsidRPr="00000000">
        <w:rPr>
          <w:rtl w:val="1"/>
        </w:rPr>
        <w:t xml:space="preserve">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איתעבידא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ומורי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מדאורייתא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חטאת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ליכא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According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extreme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applicable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cases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argument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thinks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Rabbinic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enactment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prohibiting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conduct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extreme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maybe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accept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position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elsewhere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work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הגדרת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מתכוון</w:t>
      </w:r>
      <w:r w:rsidDel="00000000" w:rsidR="00000000" w:rsidRPr="00000000">
        <w:rPr>
          <w:u w:val="single"/>
          <w:rtl w:val="1"/>
        </w:rPr>
        <w:t xml:space="preserve"> 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ולולי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להפשירן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שיפשירו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במשמעות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הצוננים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שיחמו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הרותחין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להפיגן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מרתיחתן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נתחממו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u w:val="single"/>
          <w:rtl w:val="1"/>
        </w:rPr>
        <w:t xml:space="preserve">ובאמת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פשיטא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לתלמודא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דבכהאי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גוובנה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דאסור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כשניכר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מעשיו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ניכרת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מעשיו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שבלב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לובשין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להפשירן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להפשירן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באוקימתא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והחילוק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ולפרוע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החילוק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קפידא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כגון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וכדומה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שנעשית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דכשהפיל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נשחטה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נ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ומשו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והפוצעו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וליחייב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שפצעו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ציבעיה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….</w:t>
      </w:r>
      <w:r w:rsidDel="00000000" w:rsidR="00000000" w:rsidRPr="00000000">
        <w:rPr>
          <w:rtl w:val="1"/>
        </w:rPr>
        <w:t xml:space="preserve">ומתעסק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)...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rtl w:val="0"/>
        </w:rPr>
        <w:t xml:space="preserve">implies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very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strongly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way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קהילות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077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ולזאת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שחסר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הכוונה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הרגשת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בגופו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ככוונה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ככוונה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כמתכוין</w:t>
      </w:r>
      <w:r w:rsidDel="00000000" w:rsidR="00000000" w:rsidRPr="00000000">
        <w:rPr>
          <w:rtl w:val="1"/>
        </w:rPr>
        <w:t xml:space="preserve">...".</w:t>
      </w:r>
    </w:p>
    <w:p w:rsidR="00000000" w:rsidDel="00000000" w:rsidP="00000000" w:rsidRDefault="00000000" w:rsidRPr="00000000" w14:paraId="00000078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A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הפעולה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כשעושה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…. </w:t>
        <w:br w:type="textWrapping"/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כשחותך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B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after="240" w:before="240"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רמת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ההקבלה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מתכוון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חלבים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ועריות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מתכוון</w:t>
      </w:r>
    </w:p>
    <w:p w:rsidR="00000000" w:rsidDel="00000000" w:rsidP="00000000" w:rsidRDefault="00000000" w:rsidRPr="00000000" w14:paraId="0000007D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E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F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1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u w:val="single"/>
          <w:rtl w:val="1"/>
        </w:rPr>
        <w:t xml:space="preserve">אביי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מילתא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פליגי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מיתסרא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פלוגתייהו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והכא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[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מוכרי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פלוגתייהו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דאביי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ורבא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דאכילה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תליא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דאביי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מילתא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דכשמניח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ושואף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דריחא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מילתא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וכאכילה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מיכוין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סנהדרין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המתעסק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בחלבים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ועריות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נהנה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4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1"/>
        </w:rPr>
        <w:t xml:space="preserve">תרכב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בהלכותיו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חולין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דקיי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כוותיה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מכוון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בחלבים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ועריות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באכילה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בהנאה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תרכג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תרכד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כשחותך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במלחמות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תרכה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כהשתמשות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ההשתמשות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שהנאתם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כמשתמש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85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spacing w:after="240" w:before="240" w:line="36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943600" cy="256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