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תחומין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דרבנן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כט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כט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תחתיו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ממקמו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במחנה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מביאין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מרחיצת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ומדמאי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ומלערב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ומלערב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ינאי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מתקיף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יונתן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שבאל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מתקיף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יעקב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הידענים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לאזהרת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לאזהרת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יוציא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ילפינן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שהוציאוהו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שבאל</w:t>
      </w:r>
      <w:r w:rsidDel="00000000" w:rsidR="00000000" w:rsidRPr="00000000">
        <w:rPr>
          <w:sz w:val="24"/>
          <w:szCs w:val="24"/>
          <w:rtl w:val="1"/>
        </w:rPr>
        <w:t xml:space="preserve">) -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לאזהרת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דסלקא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וממיתין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לאזהרת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שמתחייב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למלקות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מיקטיל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דלאזהרת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למלקות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כתיב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הוצאת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משוי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ממקמו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למדנו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מניסה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מניסה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מגבול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וגבול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מגבול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וגבול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מחוץ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ומדתם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ונילף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דנין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מחוצה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ישמעאל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הכהן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ביאה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ילפינן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אחזתם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ומגרש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סביבתיהם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ללוים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ומגרשיהם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לבהמתם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ולרכשם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חיתם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ומגרשי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סביב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ומדתם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פאת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קדמה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באמה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פאת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צפון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מגרשי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הערים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עקיבא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ומדותם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ומקרא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מגרש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הגלילי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מגרש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וכרמים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מיפלגי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נתגלגל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נשרף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תרומה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ונטמאת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מבעוד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משחשיכה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אבטולמוס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זקנים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שכשר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לחומרא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והתנן</w:t>
      </w:r>
      <w:r w:rsidDel="00000000" w:rsidR="00000000" w:rsidRPr="00000000">
        <w:rPr>
          <w:sz w:val="24"/>
          <w:szCs w:val="24"/>
          <w:rtl w:val="1"/>
        </w:rPr>
        <w:t xml:space="preserve">: ....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נינהו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וספיקא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לחומרא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טומאה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טומאה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טבילתה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טבילת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טומאה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לזלזולי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טבילת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טומאה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עקיבא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סוטה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לזלזולי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ספיקות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למיגזר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טומאות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להדדי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ירושלמי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וילנא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להחמיר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לקוניא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סקילה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והכתיב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והכתיב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כט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בשמועתו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בשמועתו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סיסרטא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ירמיה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נשרף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הושעיה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הגיעוך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לאלפיים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שמעון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כרסנא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אחא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מחוור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מכולם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שנים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עשר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כמחנה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3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דמטהר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טבילה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לטומאה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וספיקו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וספיקו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להחמיר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ילפינן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סקילה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גרסינן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באיסורי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קידושין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בדקוהו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ומצאוהו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קידושיו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קידושין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דמוקמינן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אחזקתיה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כשנולד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מוקמינן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אחזקתו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בשהעירוב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לדמותו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נשרף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לדמותו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ובשחר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ומצאוהו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טמא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קיימתיה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הגיעוך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כשתדקדק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מתקנת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בספיקו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4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מחוור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מכולם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שנים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עשר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כמחנה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שהיתה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ספק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עירוב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לקולא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4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9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תנן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מנינא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בהעלם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בזדון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ושגגת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שישגוג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ובכרת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דידעה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בתחומין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ואליבא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דרבי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עקיבא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שישגוג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עקיבא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4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המחלל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שגגתו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זדונו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סקילה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שגגתו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זדונו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סקילה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דמחמר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  <w:t xml:space="preserve">-----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ראשונים</w:t>
      </w:r>
      <w:r w:rsidDel="00000000" w:rsidR="00000000" w:rsidRPr="00000000">
        <w:rPr>
          <w:b w:val="1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5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צויתיך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בשעריך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נכר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וערל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תבער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ותצא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גבול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שלשים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שאילתות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</w:t>
      </w:r>
    </w:p>
    <w:p w:rsidR="00000000" w:rsidDel="00000000" w:rsidP="00000000" w:rsidRDefault="00000000" w:rsidRPr="00000000" w14:paraId="0000005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שאילתא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להון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לסגויי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דאפקוה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דשבקוה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מלקינ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ab/>
      </w:r>
      <w:r w:rsidDel="00000000" w:rsidR="00000000" w:rsidRPr="00000000">
        <w:rPr>
          <w:rtl w:val="1"/>
        </w:rPr>
        <w:t xml:space="preserve">לסגויי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ללכת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6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ומלערב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חייא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לאזהרת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באזהרה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ואשכחינא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בגמ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מערבא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דגרסינן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הגיעוך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ביסנא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כמחנה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ומדותם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ורבנן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סברי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מגרש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שדות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וכרמים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ולמעלה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לוקה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עליהם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לדברי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דכתיב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ממקומו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והיינו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כנגד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ולמטה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לדברי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הכל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תירוצא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בדוכתיה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המאור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6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מדשבקינהו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ואוקמה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כיחידאי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רוכבין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שמעינן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דליכא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תחומין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כולם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מדבריהם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שהחמירו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וסוגיין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תלמודא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דכולן</w:t>
      </w:r>
      <w:r w:rsidDel="00000000" w:rsidR="00000000" w:rsidRPr="00000000">
        <w:rPr>
          <w:sz w:val="24"/>
          <w:szCs w:val="24"/>
          <w:rtl w:val="1"/>
        </w:rPr>
        <w:t xml:space="preserve">) [</w:t>
      </w:r>
      <w:r w:rsidDel="00000000" w:rsidR="00000000" w:rsidRPr="00000000">
        <w:rPr>
          <w:sz w:val="24"/>
          <w:szCs w:val="24"/>
          <w:rtl w:val="1"/>
        </w:rPr>
        <w:t xml:space="preserve">דילן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עקיבא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6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....</w:t>
      </w:r>
      <w:r w:rsidDel="00000000" w:rsidR="00000000" w:rsidRPr="00000000">
        <w:rPr>
          <w:sz w:val="24"/>
          <w:szCs w:val="24"/>
          <w:rtl w:val="1"/>
        </w:rPr>
        <w:t xml:space="preserve">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פרכינן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בתחומי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ופרקינן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</w:p>
    <w:p w:rsidR="00000000" w:rsidDel="00000000" w:rsidP="00000000" w:rsidRDefault="00000000" w:rsidRPr="00000000" w14:paraId="0000006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</w:p>
    <w:p w:rsidR="00000000" w:rsidDel="00000000" w:rsidP="00000000" w:rsidRDefault="00000000" w:rsidRPr="00000000" w14:paraId="0000007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ויהי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שנמנענו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לגבולים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ידועים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מרחיק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משלש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פרסאות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לעיר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והפרסה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והמיל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ומודדין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כנינוה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שחכמים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גדרו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גדר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ואסרו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מאלפיים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לעיר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משרשי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שנזכור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קדמון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לזכור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ראוי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שננוח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נלך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בדרך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רחוק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דרך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טיול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ועונג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ובהליכת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שנים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עשר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מילין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טורח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שיטת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הרמב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ם</w:t>
      </w:r>
    </w:p>
    <w:p w:rsidR="00000000" w:rsidDel="00000000" w:rsidP="00000000" w:rsidRDefault="00000000" w:rsidRPr="00000000" w14:paraId="0000007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שכא</w:t>
      </w:r>
    </w:p>
    <w:p w:rsidR="00000000" w:rsidDel="00000000" w:rsidP="00000000" w:rsidRDefault="00000000" w:rsidRPr="00000000" w14:paraId="0000007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שהזהירנו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המדינה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ובאה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הקבלה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שגבול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ההליכה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שנוסף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המדינה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ואפילו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אחת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סל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ובמסכתא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התבארו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השגות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שכא</w:t>
      </w:r>
    </w:p>
    <w:p w:rsidR="00000000" w:rsidDel="00000000" w:rsidP="00000000" w:rsidRDefault="00000000" w:rsidRPr="00000000" w14:paraId="0000007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שנמנענו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מלנסוע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שגבול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הנסיעה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ערובין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ודאי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טעות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וקצור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במאמר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עקיבא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כמותו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בחבורו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הגדול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רפכ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הודה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מדברי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סופרים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שגבול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הנסיעה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פרסאות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כנגד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נסמך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הירושלמי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ערובין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ביסנא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כנגד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הוזכר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בתלמודנו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מתלמודנו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סנה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סט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בהבערה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לרבנן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גרידא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לאוין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מיתת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ראיות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הוב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ובמלחמו</w:t>
      </w:r>
      <w:r w:rsidDel="00000000" w:rsidR="00000000" w:rsidRPr="00000000">
        <w:rPr>
          <w:sz w:val="24"/>
          <w:szCs w:val="24"/>
          <w:rtl w:val="1"/>
        </w:rPr>
        <w:t xml:space="preserve">'] </w:t>
      </w:r>
      <w:r w:rsidDel="00000000" w:rsidR="00000000" w:rsidRPr="00000000">
        <w:rPr>
          <w:sz w:val="24"/>
          <w:szCs w:val="24"/>
          <w:rtl w:val="1"/>
        </w:rPr>
        <w:t xml:space="preserve">לדחות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שמטיב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זולתינו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7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8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+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+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נתנה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שיעור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חכמים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העתיקו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לשנים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עשר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כנגד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ומדברי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סופרים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מגרש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2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8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היוצא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הגאונים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דלוקין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פרסאות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והאריכו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להוכיח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נחשבת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5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8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עקיבה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מפורשין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בכתוב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כלומר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גבול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שעור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מדרבנן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אליעזר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הגלילי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</w:t>
      </w:r>
    </w:p>
    <w:p w:rsidR="00000000" w:rsidDel="00000000" w:rsidP="00000000" w:rsidRDefault="00000000" w:rsidRPr="00000000" w14:paraId="0000008B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התשובה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והיותר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מפשוטו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אזהרה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והבאנו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והסכמנו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בארתי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ההפרש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ובין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כוונת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הספר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ידיעת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עניניהם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בלבד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ואמנם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בחבור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ביארנו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כוונת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הספר</w:t>
      </w:r>
      <w:r w:rsidDel="00000000" w:rsidR="00000000" w:rsidRPr="00000000">
        <w:rPr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2921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