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happens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when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ומבטלי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{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2000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ומבטלי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המחלוקת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ומבטלי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מבטלים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ראבי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שפו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קושית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לראבי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שהוקפה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ומבטלי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נתבטלה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בבקעה</w:t>
      </w:r>
      <w:r w:rsidDel="00000000" w:rsidR="00000000" w:rsidRPr="00000000">
        <w:rPr>
          <w:sz w:val="24"/>
          <w:szCs w:val="24"/>
          <w:rtl w:val="1"/>
        </w:rPr>
        <w:t xml:space="preserve">…(</w:t>
      </w:r>
      <w:r w:rsidDel="00000000" w:rsidR="00000000" w:rsidRPr="00000000">
        <w:rPr>
          <w:sz w:val="24"/>
          <w:szCs w:val="24"/>
          <w:rtl w:val="1"/>
        </w:rPr>
        <w:t xml:space="preserve">תשובת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דעיר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כארבע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והוקפה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ומבטלי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שנפרצה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לקטנה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והוקפה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להדדי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. }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איזוהי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סרטיא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שהולכין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ופלטיא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שמתקבצים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לסחורה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מפולשת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דלתות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מדינה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נעולות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בלילה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מתערבת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שביארנו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בפלטיא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בפרט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דלתות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שכלל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המדינה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דלתות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נעולות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בלילה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הפלטיא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שבתוכה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נכללת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בהכשר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שדלתותי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נעולות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שדלתותיה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פלטיות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שמבואותיה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רחבים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ודריסת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מצויה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השוה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הוצרכה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לנעילת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דלתות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פלטיות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שרחבות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בנעילת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דלתות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שבעיר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הצרפתים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וגדולי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ויערות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ומבואות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המפולשים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וחכמי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הצרפתים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מעגלות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משיבים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ופלושיו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ומכוונים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ושבקיעת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ופרשוה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במבואות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המפולשין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מתערבת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הסתום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בבקיעת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הפלושין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המפולש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סרטיא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ופלטיא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ויוצאים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להתלקט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ורהיטני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מתקצר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ונידון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שמצדדיו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וכשהעמידוה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במבואות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המפולשין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הצרפתים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כשימעט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הסתום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הצרפתים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שהביאו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סרטיא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ופלטיא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צדדיו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ומפולש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מפולש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צדדיו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שרוחבו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סרטיא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ופלטיא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שביארנו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וגדולי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כנגד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וחצרות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פתוחות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ננעלות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ולנדון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שלפנינו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הכשירו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שלפנינו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שנחלקו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לשתוף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הכשירו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הכשירו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היכר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למלאות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עלייתם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ועמוק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לשפתו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למלאות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מבטלת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שתחזירנה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פוסקים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למעוטי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הודיעוך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ונתברר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הודיעוך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הודיעוך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מתערבת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שתתבטל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מבטלת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קלושות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ברייתות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שהוזכרו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ומבטלי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שבקיעת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מבטלת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ותירצו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שבקיעת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מבטלת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מזקיק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מפולשין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שבקיעת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יתרחבו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הגדרת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הרבים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ומבטלי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מחיצתא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בוקעים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C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דרסי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רבים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: …..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הרבים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מפסקתן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חננאל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שדלתותיה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ננעלות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מפסיקין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ננעלות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שמפסיקין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כרשות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הרבים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ותורת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הרבים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ומחיצותיה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נקבעין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מתקבצים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שהרבים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קבועים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ועומדים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):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דבקיעת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מבטלת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העשויות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ביניהן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רחב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ושפתחיו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מכוונים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כנגד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שדומה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לדגלי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מדבר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דבקעי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ומבטלת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המחיצות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כמות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שהיתה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דירושלים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המפולשין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שהשערים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מכוונין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כנגד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מעכבת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ובצורת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קכט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מבטלי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מבטלי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מחיצתא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הותרו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שיבטלו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המחיצות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דרבים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אינם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מבטלי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מחיצתא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מבטלי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מחיצתא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4470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דלתות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חנניה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ונכנס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נועל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מיערבא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והתניא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: {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}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באמצע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מיערבא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מיערבא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ירושלים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אילמלא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ננעלות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דמחוזא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אילמלא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ננעלות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המפולשין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איתמר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הילכתא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כחנניה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לחנניה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לנעול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לנעול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sz w:val="24"/>
          <w:szCs w:val="24"/>
          <w:rtl w:val="1"/>
        </w:rPr>
        <w:t xml:space="preserve">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לנעול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לנעול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בדידי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עובדא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לנעול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לנעול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לנעול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דנהרדעא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דטימן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בעפרא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פניוה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לעפרייהו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לנעול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דראויות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לנעול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ננעלות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דדלתותיה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ננעלות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כדגלי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מדבר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פתוח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עבודת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ננעלות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ננעלת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לרבים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ננעלת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וחוסמת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9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....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שדלתותיה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ננעלות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כסתימה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גמורה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ומחיצה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שלימה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דירושלים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חומותי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מנעילות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ננעלות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D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ההשלמה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ההשלמה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3F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ולאפוקי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25781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