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focusing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nature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pivot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dealing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context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which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happen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namely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both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point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out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unique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isn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unless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performed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context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particular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....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ind w:left="720" w:right="720" w:firstLine="0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ארבע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רשויות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לשבת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היחיד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וכרמלית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פטור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סרטיא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ופלטיא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המפולשין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והכניס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ענוש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ונסקל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ואיסטוונית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והכרמלית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והכניס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עירבו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האיסקופה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איסקופה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כלחוץ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וכרמלית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ליברמן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ופלטיה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המפולשין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