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56.8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כוסות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שיסב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יפחתו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התמחוי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שתאן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שתאן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השקה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שתאן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ידי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ידי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שתאן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השקה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יצחק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דכסא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חשיבות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מזוג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ביינות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מזיגה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שמחת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ושמחת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בחגך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ביין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המובחר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ולשתות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כלו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ששתאן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סמוכין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שסדרו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לשתותן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כסדרן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למזוג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בארבעתן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מרביעית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מזוגין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רובו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56.8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כמה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לשתות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הכוס</w:t>
      </w:r>
    </w:p>
    <w:p w:rsidR="00000000" w:rsidDel="00000000" w:rsidP="00000000" w:rsidRDefault="00000000" w:rsidRPr="00000000" w14:paraId="00000014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דכסא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כמלא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לוגמיו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רביעית</w:t>
      </w:r>
      <w:r w:rsidDel="00000000" w:rsidR="00000000" w:rsidRPr="00000000">
        <w:rPr>
          <w:sz w:val="24"/>
          <w:szCs w:val="24"/>
          <w:rtl w:val="1"/>
        </w:rPr>
        <w:t xml:space="preserve">. {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רמבם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}</w:t>
      </w:r>
    </w:p>
    <w:p w:rsidR="00000000" w:rsidDel="00000000" w:rsidP="00000000" w:rsidRDefault="00000000" w:rsidRPr="00000000" w14:paraId="00000017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מקדשין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מטעימת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לוגמא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המקדש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לוגמא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לוגמא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וכדמפרש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ביומא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לוגמיו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מרביעית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לוגמיו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מרביעית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מוציא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אחרים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ידי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חובה</w:t>
      </w:r>
    </w:p>
    <w:p w:rsidR="00000000" w:rsidDel="00000000" w:rsidP="00000000" w:rsidRDefault="00000000" w:rsidRPr="00000000" w14:paraId="00000020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יפחתו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משמע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קצת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נותנין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לבניו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ולבני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לעצמו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מוציא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כולם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וסברא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דמאי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שנא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ארבע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כוסות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מקידוש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השנה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....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השקה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דלכתחלה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להשקותם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לעצמם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דקתני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תינוקות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לתינוקות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לתינוקות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23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פוחתין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חמר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מדינא</w:t>
      </w:r>
    </w:p>
    <w:p w:rsidR="00000000" w:rsidDel="00000000" w:rsidP="00000000" w:rsidRDefault="00000000" w:rsidRPr="00000000" w14:paraId="00000028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שולחן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תפג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שמברך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ובוצע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הגה</w:t>
      </w:r>
      <w:r w:rsidDel="00000000" w:rsidR="00000000" w:rsidRPr="00000000">
        <w:rPr>
          <w:sz w:val="24"/>
          <w:szCs w:val="24"/>
          <w:rtl w:val="1"/>
        </w:rPr>
        <w:t xml:space="preserve">:.. </w:t>
      </w:r>
      <w:r w:rsidDel="00000000" w:rsidR="00000000" w:rsidRPr="00000000">
        <w:rPr>
          <w:sz w:val="24"/>
          <w:szCs w:val="24"/>
          <w:rtl w:val="1"/>
        </w:rPr>
        <w:t xml:space="preserve">ובמקומות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שנוהגים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{</w:t>
      </w:r>
      <w:r w:rsidDel="00000000" w:rsidR="00000000" w:rsidRPr="00000000">
        <w:rPr>
          <w:sz w:val="24"/>
          <w:szCs w:val="24"/>
          <w:rtl w:val="0"/>
        </w:rPr>
        <w:t xml:space="preserve">mead</w:t>
      </w:r>
      <w:r w:rsidDel="00000000" w:rsidR="00000000" w:rsidRPr="00000000">
        <w:rPr>
          <w:sz w:val="24"/>
          <w:szCs w:val="24"/>
          <w:rtl w:val="1"/>
        </w:rPr>
        <w:t xml:space="preserve">},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דמקדשין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מהות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המצווה</w:t>
      </w:r>
    </w:p>
    <w:p w:rsidR="00000000" w:rsidDel="00000000" w:rsidP="00000000" w:rsidRDefault="00000000" w:rsidRPr="00000000" w14:paraId="0000002D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מזגו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מברך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מזונו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רביעי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גומר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לשתות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ישתה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גמרא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וחד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נעביד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מצוה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ואשה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דעצרת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דמחייבי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ומסתמא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תיקנו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כוסות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עליהם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הלל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ואגדה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קפב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שברוב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וברכתו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ישועות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אקרא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לבוש</w:t>
      </w:r>
      <w:r w:rsidDel="00000000" w:rsidR="00000000" w:rsidRPr="00000000">
        <w:rPr>
          <w:sz w:val="24"/>
          <w:szCs w:val="24"/>
          <w:rtl w:val="1"/>
        </w:rPr>
        <w:t xml:space="preserve">):</w:t>
      </w:r>
    </w:p>
    <w:p w:rsidR="00000000" w:rsidDel="00000000" w:rsidP="00000000" w:rsidRDefault="00000000" w:rsidRPr="00000000" w14:paraId="00000036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38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להראות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בעצמו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משעבוד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מצרים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+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'+ </w:t>
      </w:r>
      <w:r w:rsidDel="00000000" w:rsidR="00000000" w:rsidRPr="00000000">
        <w:rPr>
          <w:sz w:val="24"/>
          <w:szCs w:val="24"/>
          <w:rtl w:val="1"/>
        </w:rPr>
        <w:t xml:space="preserve">ואותנו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+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'+ </w:t>
      </w:r>
      <w:r w:rsidDel="00000000" w:rsidR="00000000" w:rsidRPr="00000000">
        <w:rPr>
          <w:sz w:val="24"/>
          <w:szCs w:val="24"/>
          <w:rtl w:val="1"/>
        </w:rPr>
        <w:t xml:space="preserve">וזכרת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ונפדית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כשסועד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מיסב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חירות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חייב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לשתות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בלילה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ארבעה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כוסות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פוחתין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המתפרנס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יפחתו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מארבעה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כוסות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רביעית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</w:p>
    <w:p w:rsidR="00000000" w:rsidDel="00000000" w:rsidP="00000000" w:rsidRDefault="00000000" w:rsidRPr="00000000" w14:paraId="0000003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הכוס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דהתוס</w:t>
      </w:r>
      <w:r w:rsidDel="00000000" w:rsidR="00000000" w:rsidRPr="00000000">
        <w:rPr>
          <w:sz w:val="24"/>
          <w:szCs w:val="24"/>
          <w:rtl w:val="1"/>
        </w:rPr>
        <w:t xml:space="preserve">' (</w:t>
      </w:r>
      <w:r w:rsidDel="00000000" w:rsidR="00000000" w:rsidRPr="00000000">
        <w:rPr>
          <w:sz w:val="24"/>
          <w:szCs w:val="24"/>
          <w:rtl w:val="1"/>
        </w:rPr>
        <w:t xml:space="preserve">בדף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דכסא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לוגמיו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דלטעמייהו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לוגמיו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בטעימה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ולפ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דבחמר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דשתיית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דשתיה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עריבה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נשים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כוסות</w:t>
      </w:r>
    </w:p>
    <w:p w:rsidR="00000000" w:rsidDel="00000000" w:rsidP="00000000" w:rsidRDefault="00000000" w:rsidRPr="00000000" w14:paraId="00000040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הנס</w:t>
      </w:r>
    </w:p>
    <w:p w:rsidR="00000000" w:rsidDel="00000000" w:rsidP="00000000" w:rsidRDefault="00000000" w:rsidRPr="00000000" w14:paraId="00000043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sz w:val="24"/>
          <w:szCs w:val="24"/>
          <w:rtl w:val="1"/>
        </w:rPr>
        <w:t xml:space="preserve">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תינוקות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לתינוקות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ביין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מחלקין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ואגוזין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וישאלו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92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0"/>
        <w:gridCol w:w="2640"/>
        <w:gridCol w:w="3165"/>
        <w:tblGridChange w:id="0">
          <w:tblGrid>
            <w:gridCol w:w="3120"/>
            <w:gridCol w:w="2640"/>
            <w:gridCol w:w="3165"/>
          </w:tblGrid>
        </w:tblGridChange>
      </w:tblGrid>
      <w:tr>
        <w:trPr>
          <w:trHeight w:val="36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דין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חירות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דין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ברכה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שיטת</w:t>
            </w:r>
            <w:r w:rsidDel="00000000" w:rsidR="00000000" w:rsidRPr="00000000">
              <w:rPr>
                <w:rtl w:val="1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תוספות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יוצא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כוסות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יצא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יין</w:t>
            </w:r>
            <w:r w:rsidDel="00000000" w:rsidR="00000000" w:rsidRPr="00000000">
              <w:rPr>
                <w:rtl w:val="1"/>
              </w:rPr>
              <w:t xml:space="preserve">= </w:t>
            </w:r>
            <w:r w:rsidDel="00000000" w:rsidR="00000000" w:rsidRPr="00000000">
              <w:rPr>
                <w:rtl w:val="1"/>
              </w:rPr>
              <w:t xml:space="preserve">שמחת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ט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תוספות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קח</w:t>
            </w:r>
            <w:r w:rsidDel="00000000" w:rsidR="00000000" w:rsidRPr="00000000">
              <w:rPr>
                <w:rtl w:val="1"/>
              </w:rPr>
              <w:t xml:space="preserve">:)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חירות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יצא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חירות</w:t>
            </w:r>
            <w:r w:rsidDel="00000000" w:rsidR="00000000" w:rsidRPr="00000000">
              <w:rPr>
                <w:rtl w:val="1"/>
              </w:rPr>
              <w:t xml:space="preserve">= </w:t>
            </w:r>
            <w:r w:rsidDel="00000000" w:rsidR="00000000" w:rsidRPr="00000000">
              <w:rPr>
                <w:rtl w:val="1"/>
              </w:rPr>
              <w:t xml:space="preserve">מצווה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בשלימותה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רשב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ואינו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לחזור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ן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רוב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כוס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כמה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לשתות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הכוס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בקידוש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תוספות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קח</w:t>
            </w:r>
            <w:r w:rsidDel="00000000" w:rsidR="00000000" w:rsidRPr="00000000">
              <w:rPr>
                <w:rtl w:val="1"/>
              </w:rPr>
              <w:t xml:space="preserve">:)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לשתות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לעצמו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להוציא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חובתם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להוציא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בקידוש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תוספות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צט</w:t>
            </w:r>
            <w:r w:rsidDel="00000000" w:rsidR="00000000" w:rsidRPr="00000000">
              <w:rPr>
                <w:rtl w:val="1"/>
              </w:rPr>
              <w:t xml:space="preserve">:)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דווקא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שו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תפג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מדינא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אפילו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מדינא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רמ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להראות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חירות</w:t>
            </w:r>
            <w:r w:rsidDel="00000000" w:rsidR="00000000" w:rsidRPr="00000000">
              <w:rPr>
                <w:rtl w:val="1"/>
              </w:rPr>
              <w:t xml:space="preserve">. (</w:t>
            </w:r>
            <w:r w:rsidDel="00000000" w:rsidR="00000000" w:rsidRPr="00000000">
              <w:rPr>
                <w:rtl w:val="1"/>
              </w:rPr>
              <w:t xml:space="preserve">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מהות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המצווה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והגדה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תוספות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</w:t>
            </w:r>
            <w:r w:rsidDel="00000000" w:rsidR="00000000" w:rsidRPr="00000000">
              <w:rPr>
                <w:rtl w:val="1"/>
              </w:rPr>
              <w:t xml:space="preserve">.)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שתיית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היין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גר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פעולת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המצווה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אמירת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הברכה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גר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תוס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bidi w:val="1"/>
              <w:rPr/>
            </w:pPr>
            <w:r w:rsidDel="00000000" w:rsidR="00000000" w:rsidRPr="00000000">
              <w:rPr>
                <w:u w:val="single"/>
                <w:rtl w:val="1"/>
              </w:rPr>
              <w:t xml:space="preserve">צווי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דינים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דין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חירות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לשתותם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מצווה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בהם</w:t>
            </w:r>
            <w:r w:rsidDel="00000000" w:rsidR="00000000" w:rsidRPr="00000000">
              <w:rPr>
                <w:rtl w:val="1"/>
              </w:rPr>
              <w:t xml:space="preserve">. [</w:t>
            </w:r>
            <w:r w:rsidDel="00000000" w:rsidR="00000000" w:rsidRPr="00000000">
              <w:rPr>
                <w:rtl w:val="1"/>
              </w:rPr>
              <w:t xml:space="preserve">חירות</w:t>
            </w:r>
            <w:r w:rsidDel="00000000" w:rsidR="00000000" w:rsidRPr="00000000">
              <w:rPr>
                <w:rtl w:val="1"/>
              </w:rPr>
              <w:t xml:space="preserve">-&gt;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']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פסחים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קיז</w:t>
            </w:r>
            <w:r w:rsidDel="00000000" w:rsidR="00000000" w:rsidRPr="00000000">
              <w:rPr>
                <w:rtl w:val="1"/>
              </w:rPr>
              <w:t xml:space="preserve">: "</w:t>
            </w:r>
            <w:r w:rsidDel="00000000" w:rsidR="00000000" w:rsidRPr="00000000">
              <w:rPr>
                <w:rtl w:val="1"/>
              </w:rPr>
              <w:t xml:space="preserve">ארבע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תיקנו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חירות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נעביד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מצוה</w:t>
            </w:r>
            <w:r w:rsidDel="00000000" w:rsidR="00000000" w:rsidRPr="00000000">
              <w:rPr>
                <w:rtl w:val="1"/>
              </w:rPr>
              <w:t xml:space="preserve">."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המצווה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האמירה</w:t>
            </w:r>
            <w:r w:rsidDel="00000000" w:rsidR="00000000" w:rsidRPr="00000000">
              <w:rPr>
                <w:rtl w:val="1"/>
              </w:rPr>
              <w:t xml:space="preserve">\</w:t>
            </w:r>
            <w:r w:rsidDel="00000000" w:rsidR="00000000" w:rsidRPr="00000000">
              <w:rPr>
                <w:rtl w:val="1"/>
              </w:rPr>
              <w:t xml:space="preserve">קידוש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חייבות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להראות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חירות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פשטות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נשים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הנס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ולכן</w:t>
            </w:r>
            <w:r w:rsidDel="00000000" w:rsidR="00000000" w:rsidRPr="00000000">
              <w:rPr>
                <w:rtl w:val="1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חייבות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בהלל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פסח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וחייבות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בכוסות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ההגדה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וההלל</w:t>
            </w:r>
            <w:r w:rsidDel="00000000" w:rsidR="00000000" w:rsidRPr="00000000">
              <w:rPr>
                <w:rtl w:val="1"/>
              </w:rPr>
              <w:t xml:space="preserve">. (</w:t>
            </w:r>
            <w:r w:rsidDel="00000000" w:rsidR="00000000" w:rsidRPr="00000000">
              <w:rPr>
                <w:rtl w:val="1"/>
              </w:rPr>
              <w:t xml:space="preserve">תוספות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</w:t>
            </w:r>
            <w:r w:rsidDel="00000000" w:rsidR="00000000" w:rsidRPr="00000000">
              <w:rPr>
                <w:rtl w:val="1"/>
              </w:rPr>
              <w:t xml:space="preserve">.)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a3a3a3" w:space="0" w:sz="8" w:val="single"/>
              <w:bottom w:color="a3a3a3" w:space="0" w:sz="8" w:val="single"/>
              <w:right w:color="000000" w:space="0" w:sz="0" w:val="nil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bidi w:val="1"/>
        <w:spacing w:after="0" w:afterAutospacing="0" w:lineRule="auto"/>
        <w:ind w:left="720" w:right="720" w:hanging="360"/>
      </w:pP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בעיקרון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והסדר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bidi w:val="1"/>
        <w:spacing w:after="240" w:lineRule="auto"/>
        <w:ind w:left="720" w:right="720" w:hanging="360"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להראות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ממצריים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מיסב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מיסב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וההגדה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