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לשון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קידושין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'/.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ובביאה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האיטלקי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היבם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נקנית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"}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מקדש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וניתני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קונה</w:t>
      </w:r>
      <w:r w:rsidDel="00000000" w:rsidR="00000000" w:rsidRPr="00000000">
        <w:rPr>
          <w:b w:val="1"/>
          <w:rtl w:val="1"/>
        </w:rPr>
        <w:t xml:space="preserve">! </w:t>
      </w:r>
      <w:r w:rsidDel="00000000" w:rsidR="00000000" w:rsidRPr="00000000">
        <w:rPr>
          <w:b w:val="1"/>
          <w:rtl w:val="1"/>
        </w:rPr>
        <w:t xml:space="preserve">מעיקרא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דאורייתא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ולבסוף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דרבנן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ומאי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דרבנן</w:t>
      </w:r>
      <w:r w:rsidDel="00000000" w:rsidR="00000000" w:rsidRPr="00000000">
        <w:rPr>
          <w:b w:val="1"/>
          <w:rtl w:val="1"/>
        </w:rPr>
        <w:t xml:space="preserve">? </w:t>
      </w:r>
      <w:r w:rsidDel="00000000" w:rsidR="00000000" w:rsidRPr="00000000">
        <w:rPr>
          <w:b w:val="1"/>
          <w:rtl w:val="1"/>
        </w:rPr>
        <w:t xml:space="preserve">דאסר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אכ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כהקדש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ומקנה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הווה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אמינה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שיש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קידושין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קרחה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ותפשת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למטעי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במשמעו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במשמעו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ביבמתו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'?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קמיפלגי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מייבמה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יבמות</w:t>
      </w:r>
      <w:r w:rsidDel="00000000" w:rsidR="00000000" w:rsidRPr="00000000">
        <w:rPr>
          <w:rtl w:val="1"/>
        </w:rPr>
        <w:t xml:space="preserve">/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ויבמה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באונס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קנאה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דעלמא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ושלח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ושלחה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ושלחה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בגירושין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מגירושין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ושלח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ושלח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ושלחה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בהזכרתם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וגירסאות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הקשנוהו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מדקדקים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בדקדוקים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שרבותינו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הוסיפו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לדקדק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בחסרון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יפרשם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שירצה</w:t>
      </w:r>
      <w:r w:rsidDel="00000000" w:rsidR="00000000" w:rsidRPr="00000000">
        <w:rPr>
          <w:rtl w:val="1"/>
        </w:rPr>
        <w:t xml:space="preserve"> </w:t>
        <w:br w:type="textWrapping"/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מתגרשת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שאנסוה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שאנסוה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לאתתא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ואפקעינהו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לבעילתו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זנות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ואישתמיטתיה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זביני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כהוגן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ודוקיא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כתירוצא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שאנסוהו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ונראין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תליוהו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וזבין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זביניה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זביני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מאונסא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דאחריני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כדתניא</w:t>
      </w:r>
      <w:r w:rsidDel="00000000" w:rsidR="00000000" w:rsidRPr="00000000">
        <w:rPr>
          <w:rtl w:val="1"/>
        </w:rPr>
        <w:t xml:space="preserve">: {</w:t>
      </w:r>
      <w:r w:rsidDel="00000000" w:rsidR="00000000" w:rsidRPr="00000000">
        <w:rPr>
          <w:rtl w:val="1"/>
        </w:rPr>
        <w:t xml:space="preserve">מח</w:t>
      </w:r>
      <w:r w:rsidDel="00000000" w:rsidR="00000000" w:rsidRPr="00000000">
        <w:rPr>
          <w:rtl w:val="1"/>
        </w:rPr>
        <w:t xml:space="preserve">.} </w:t>
      </w:r>
      <w:r w:rsidDel="00000000" w:rsidR="00000000" w:rsidRPr="00000000">
        <w:rPr>
          <w:rtl w:val="1"/>
        </w:rPr>
        <w:t xml:space="preserve">יקריב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לרצונו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כופין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מסיפא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אונסיה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תליוה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וקדיש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קדושיו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כהוגן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ואפקעינהו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תינח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בכספא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שויוה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לבעילתו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זנות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לרצונה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שאנסוהו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מדעתן</w:t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שאנסוהו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.+ 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תלוהו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וקדיש</w:t>
      </w:r>
      <w:r w:rsidDel="00000000" w:rsidR="00000000" w:rsidRPr="00000000">
        <w:rPr>
          <w:b w:val="1"/>
          <w:u w:val="single"/>
          <w:rtl w:val="1"/>
        </w:rPr>
        <w:t xml:space="preserve">- </w:t>
      </w:r>
      <w:r w:rsidDel="00000000" w:rsidR="00000000" w:rsidRPr="00000000">
        <w:rPr>
          <w:b w:val="1"/>
          <w:u w:val="single"/>
          <w:rtl w:val="1"/>
        </w:rPr>
        <w:t xml:space="preserve">קידושין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כרחו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האיש</w:t>
      </w:r>
      <w:r w:rsidDel="00000000" w:rsidR="00000000" w:rsidRPr="00000000">
        <w:rPr>
          <w:b w:val="1"/>
          <w:u w:val="single"/>
          <w:rtl w:val="1"/>
        </w:rPr>
        <w:t xml:space="preserve"> - </w:t>
      </w:r>
      <w:r w:rsidDel="00000000" w:rsidR="00000000" w:rsidRPr="00000000">
        <w:rPr>
          <w:b w:val="1"/>
          <w:u w:val="single"/>
          <w:rtl w:val="0"/>
        </w:rPr>
        <w:t xml:space="preserve">Shotgun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Marriages</w:t>
      </w:r>
      <w:r w:rsidDel="00000000" w:rsidR="00000000" w:rsidRPr="00000000">
        <w:rPr>
          <w:b w:val="1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תליוה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וקדיש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קדושיו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כהוגן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ואפקעינהו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תינח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בכספא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שויוה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לבעילתו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זנות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ואישתמיטתיה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זביני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כהוגן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ודוקיא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כתירוצא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שאנסוהו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ונראין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פרובינצה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בחבוריהם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שקדושיו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שאנסוהו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וחסרון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שאנסוהו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המגיהים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לפקפק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המחמיר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לרצונה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  <w:br w:type="textWrapping"/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שאנסוהו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שאנסוהו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.+ 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1"/>
        </w:rPr>
        <w:t xml:space="preserve">מגיד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שאנסוהו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אפקעינהו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כשנאנסה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נשואין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כרחה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'/. </w:t>
      </w:r>
      <w:r w:rsidDel="00000000" w:rsidR="00000000" w:rsidRPr="00000000">
        <w:rPr>
          <w:rtl w:val="1"/>
        </w:rPr>
        <w:t xml:space="preserve">בתולה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ואלמנה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החמישי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שפעמים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החמישי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1"/>
        </w:rPr>
        <w:t xml:space="preserve">נשאת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כדמשני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1"/>
        </w:rPr>
        <w:t xml:space="preserve">חכמת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למיטעי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):</w:t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1"/>
        </w:rPr>
        <w:t xml:space="preserve">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אשמועינן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למיטעי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אשמועינן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למיטעי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לתועלתה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המתחיל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תקד</w:t>
      </w:r>
      <w:r w:rsidDel="00000000" w:rsidR="00000000" w:rsidRPr="00000000">
        <w:rPr>
          <w:rtl w:val="1"/>
        </w:rPr>
        <w:t xml:space="preserve">] 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תקטז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מרובים</w:t>
      </w:r>
      <w:r w:rsidDel="00000000" w:rsidR="00000000" w:rsidRPr="00000000">
        <w:rPr>
          <w:rtl w:val="1"/>
        </w:rPr>
        <w:t xml:space="preserve"> [*</w:t>
      </w:r>
      <w:r w:rsidDel="00000000" w:rsidR="00000000" w:rsidRPr="00000000">
        <w:rPr>
          <w:rtl w:val="1"/>
        </w:rPr>
        <w:t xml:space="preserve">מאביה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והקרובים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ותפקע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והארוס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ומנעוהו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ישאנה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יירשנה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יירשוה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דיתומה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יירשנה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וימחה</w:t>
      </w:r>
      <w:r w:rsidDel="00000000" w:rsidR="00000000" w:rsidRPr="00000000">
        <w:rPr>
          <w:rtl w:val="1"/>
        </w:rPr>
        <w:t xml:space="preserve"> [*</w:t>
      </w:r>
      <w:r w:rsidDel="00000000" w:rsidR="00000000" w:rsidRPr="00000000">
        <w:rPr>
          <w:rtl w:val="1"/>
        </w:rPr>
        <w:t xml:space="preserve">ובתוך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[*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(*</w:t>
      </w:r>
      <w:r w:rsidDel="00000000" w:rsidR="00000000" w:rsidRPr="00000000">
        <w:rPr>
          <w:rtl w:val="1"/>
        </w:rPr>
        <w:t xml:space="preserve">דאיהו</w:t>
      </w:r>
      <w:r w:rsidDel="00000000" w:rsidR="00000000" w:rsidRPr="00000000">
        <w:rPr>
          <w:rtl w:val="1"/>
        </w:rPr>
        <w:t xml:space="preserve">) [*</w:t>
      </w:r>
      <w:r w:rsidDel="00000000" w:rsidR="00000000" w:rsidRPr="00000000">
        <w:rPr>
          <w:rtl w:val="1"/>
        </w:rPr>
        <w:t xml:space="preserve">דאיהי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(*</w:t>
      </w:r>
      <w:r w:rsidDel="00000000" w:rsidR="00000000" w:rsidRPr="00000000">
        <w:rPr>
          <w:rtl w:val="1"/>
        </w:rPr>
        <w:t xml:space="preserve">ברשותם</w:t>
      </w:r>
      <w:r w:rsidDel="00000000" w:rsidR="00000000" w:rsidRPr="00000000">
        <w:rPr>
          <w:rtl w:val="1"/>
        </w:rPr>
        <w:t xml:space="preserve">) [*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האחין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ולגבייהו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[*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</w:t>
      </w:r>
      <w:r w:rsidDel="00000000" w:rsidR="00000000" w:rsidRPr="00000000">
        <w:rPr>
          <w:rtl w:val="1"/>
        </w:rPr>
        <w:t xml:space="preserve">] [*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(*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) [*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לאבוה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ומשני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אימרדא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עילויה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ממאנת</w:t>
      </w:r>
      <w:r w:rsidDel="00000000" w:rsidR="00000000" w:rsidRPr="00000000">
        <w:rPr>
          <w:rtl w:val="1"/>
        </w:rPr>
        <w:t xml:space="preserve"> (*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) [*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להמתין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שתגדיל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שקדשה</w:t>
      </w:r>
      <w:r w:rsidDel="00000000" w:rsidR="00000000" w:rsidRPr="00000000">
        <w:rPr>
          <w:rtl w:val="1"/>
        </w:rPr>
        <w:t xml:space="preserve"> (*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) [*</w:t>
      </w:r>
      <w:r w:rsidDel="00000000" w:rsidR="00000000" w:rsidRPr="00000000">
        <w:rPr>
          <w:rtl w:val="1"/>
        </w:rPr>
        <w:t xml:space="preserve">אחיה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(*</w:t>
      </w:r>
      <w:r w:rsidDel="00000000" w:rsidR="00000000" w:rsidRPr="00000000">
        <w:rPr>
          <w:rtl w:val="1"/>
        </w:rPr>
        <w:t xml:space="preserve">ותוקי</w:t>
      </w:r>
      <w:r w:rsidDel="00000000" w:rsidR="00000000" w:rsidRPr="00000000">
        <w:rPr>
          <w:rtl w:val="1"/>
        </w:rPr>
        <w:t xml:space="preserve">) [*</w:t>
      </w:r>
      <w:r w:rsidDel="00000000" w:rsidR="00000000" w:rsidRPr="00000000">
        <w:rPr>
          <w:rtl w:val="1"/>
        </w:rPr>
        <w:t xml:space="preserve">ופרשי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לקצר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1"/>
        </w:rPr>
        <w:t xml:space="preserve">נתקדשה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שתבגור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שנתקדשה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נתאלמנה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נתגרשה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לעכב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שביארנו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בנישואיה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((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בעדים</w:t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נצטוו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+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+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ונותנן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עדים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7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ומתייחד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ובועלה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מסתמא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וכשיגמור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1"/>
        </w:rPr>
        <w:t xml:space="preserve">הארוסה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שיביא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ויתיחד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ויפרישנה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הנקרא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נישואין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ומשתכנס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לחופה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נקראת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נשואה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כארוסה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0"/>
        </w:rPr>
        <w:t xml:space="preserve">))</w:t>
      </w:r>
    </w:p>
    <w:p w:rsidR="00000000" w:rsidDel="00000000" w:rsidP="00000000" w:rsidRDefault="00000000" w:rsidRPr="00000000" w14:paraId="0000008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bidi w:val="1"/>
        <w:rPr/>
      </w:pPr>
      <w:r w:rsidDel="00000000" w:rsidR="00000000" w:rsidRPr="00000000">
        <w:rPr>
          <w:rtl w:val="1"/>
        </w:rPr>
        <w:t xml:space="preserve">אבני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rPr/>
      </w:pP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בנדרים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ורצונה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מכניסה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לרשותה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לרשותו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שבערוה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בהודאתה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rPr/>
      </w:pPr>
      <w:r w:rsidDel="00000000" w:rsidR="00000000" w:rsidRPr="00000000">
        <w:rPr>
          <w:rtl w:val="1"/>
        </w:rPr>
        <w:t xml:space="preserve">אבני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שאנסוהו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דתלוי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דאפקינהו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אפקינהו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אפקינהו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אנסוהו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אנסוהו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D">
      <w:pPr>
        <w:bidi w:val="1"/>
        <w:rPr/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8E">
      <w:pPr>
        <w:bidi w:val="1"/>
        <w:rPr/>
      </w:pP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דאנסוהו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מהל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F">
      <w:pPr>
        <w:bidi w:val="1"/>
        <w:rPr/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90">
      <w:pPr>
        <w:bidi w:val="1"/>
        <w:rPr/>
      </w:pP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דקידושין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דמחויב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באנסוהו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אפקינהו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