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שליחות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מצווה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Can you have a shliach do everything for you? can you have a shliach daven for you or take lulav and etrog for you? Why not?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מפירותיו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והשריש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באורך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נשחטה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בזרועינו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קשרתי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קצות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והנראה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האפוטרופוס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ושותפין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וכוונתו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התכליתי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שפסחו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יהרג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ברציחה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קצות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מעיסתו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ושחיטת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דייבום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בשלוחו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מבשלוחו</w:t>
      </w:r>
      <w:r w:rsidDel="00000000" w:rsidR="00000000" w:rsidRPr="00000000">
        <w:rPr>
          <w:rtl w:val="1"/>
        </w:rPr>
        <w:t xml:space="preserve">/.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ומוציאו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זצוקלה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סבורני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בברכתו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קובץ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רנג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הנשחט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דהעשיה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הקצוה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המשלח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כשהמשלח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].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