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מילי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ממסרון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לשליח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,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נומינו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שיכתבוהו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מילי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מימסרן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לשליח</w:t>
      </w:r>
      <w:r w:rsidDel="00000000" w:rsidR="00000000" w:rsidRPr="00000000">
        <w:rPr>
          <w:b w:val="1"/>
          <w:u w:val="single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ותיפשוט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כתובו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כתובו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 {</w:t>
      </w:r>
      <w:r w:rsidDel="00000000" w:rsidR="00000000" w:rsidRPr="00000000">
        <w:rPr>
          <w:b w:val="1"/>
          <w:rtl w:val="1"/>
        </w:rPr>
        <w:t xml:space="preserve">לחתום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לעדות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},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כשר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שהשליחים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בשבילם</w:t>
      </w:r>
      <w:r w:rsidDel="00000000" w:rsidR="00000000" w:rsidRPr="00000000">
        <w:rPr>
          <w:b w:val="1"/>
          <w:rtl w:val="1"/>
        </w:rPr>
        <w:t xml:space="preserve">}? </w:t>
      </w:r>
      <w:r w:rsidDel="00000000" w:rsidR="00000000" w:rsidRPr="00000000">
        <w:rPr>
          <w:b w:val="1"/>
          <w:rtl w:val="1"/>
        </w:rPr>
        <w:t xml:space="preserve">והאמר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אמרי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דכתובו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אמרו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ומודה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יוסי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אמרו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למוסרן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ונמסרין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חתימתן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ופרכינן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ויכתוב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problem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 other words: What is the nature of the problem, and what is the scope of the problem?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extreme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formulation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Maharit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thinks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limited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appoint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dinim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לחבירו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והקדיש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משוורי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problem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significant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whatever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undermine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most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understand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problem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On the other extreme, we have the shittat haRambam: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לכתבו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לסופר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ויחתומו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ומתיישבין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[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קורדיקוס</w:t>
      </w:r>
      <w:r w:rsidDel="00000000" w:rsidR="00000000" w:rsidRPr="00000000">
        <w:rPr>
          <w:rtl w:val="1"/>
        </w:rPr>
        <w:t xml:space="preserve"> (/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).+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יכול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לשליח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ארסתיה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??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(If you don’t want to get too distracted by shtarot, you can just skim the bolded lines.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דעיקר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דמילי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מימסרי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אכתיבה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דהכתיבה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החתימה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ממילא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שהבאנו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השטר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דאשוויי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דמעכב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בלשמה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שנתבאר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mainstream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opinion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means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0"/>
        </w:rPr>
        <w:t xml:space="preserve">”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line="216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8">
      <w:pPr>
        <w:bidi w:val="1"/>
        <w:spacing w:line="216" w:lineRule="auto"/>
        <w:rPr>
          <w:b w:val="1"/>
        </w:rPr>
      </w:pP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ונמסרים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ונמסר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line="21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line="216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spacing w:line="216" w:lineRule="auto"/>
        <w:rPr>
          <w:b w:val="1"/>
        </w:rPr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למוסרן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line="216" w:lineRule="auto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4D">
      <w:pPr>
        <w:bidi w:val="1"/>
        <w:spacing w:line="216" w:lineRule="auto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ונמסרין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לסופר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ויכתוב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רכח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}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כמותו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ילפינן</w:t>
      </w:r>
      <w:r w:rsidDel="00000000" w:rsidR="00000000" w:rsidRPr="00000000">
        <w:rPr>
          <w:b w:val="1"/>
          <w:u w:val="singl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וא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כבעלים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:),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דכיון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דשלוחו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כדנפקא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מפסח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יהיה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ויכול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למנות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וכן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דגלויי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דנפיק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וגרושין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שלישי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b w:val="1"/>
          <w:rtl w:val="1"/>
        </w:rPr>
        <w:t xml:space="preserve">ומ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דבעלמא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בנדון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b w:val="1"/>
          <w:rtl w:val="1"/>
        </w:rPr>
        <w:t xml:space="preserve">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תחתיהם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לנאמנים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מימסרן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להוליך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לאשתו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ומעתה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למוסרו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לעשות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ברירה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נמסר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בעלמא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כשמקיים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מהני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ההוא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יכול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למסרן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:),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שבירושלים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דאניסי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);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הבוררים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תחתיהם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Rivash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seems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think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natural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obvious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since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naturally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0"/>
        </w:rPr>
        <w:t xml:space="preserve">”?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/,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