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שליח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עושה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שליח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ושלח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ושלחה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ושלחה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שליח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שחלה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פקדונו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אורחא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איבעית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ורמינהו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ויתנו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ובפלוגתא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כגט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המביא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ונחתם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משלחו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כשתתן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דאניס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איבעית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ואיבעית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ובריית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יכתבו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בזיון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rPr>
          <w:b w:val="1"/>
        </w:rPr>
      </w:pP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התם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טעמא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בדברים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חוזרים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ונמסרים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מששא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חוזר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ונמסר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קסז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והמקבל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מימסרן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מימסרן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קפדני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דקפדי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שליחותייהו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דקפיד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קפיד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בגירושין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מקפיד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שלוחין</w:t>
      </w:r>
      <w:r w:rsidDel="00000000" w:rsidR="00000000" w:rsidRPr="00000000">
        <w:rPr>
          <w:rtl w:val="1"/>
        </w:rPr>
        <w:t xml:space="preserve">. {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נחתם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דקטנותא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קאתו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מכח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לכולהו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דשליח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בטלו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דקטנותא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בקטנותו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מיורשיו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ויוליכנו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1"/>
        </w:rPr>
        <w:t xml:space="preserve">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נתבטל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שליחות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מיורשיו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ויוליכנו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שחתמו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ונאבד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נגמרה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שליחות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שיגיע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לידה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מיורשיו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הטעם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נגד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כבעל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נגד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השליח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שנסתלק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1"/>
        </w:rPr>
        <w:t xml:space="preserve">פתחי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המל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נסתפקתי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מבטל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דמתגרשת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המלך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ודעתו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לבטל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דתיכף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שליחותו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לראשון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כאילו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בעצמו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הגט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ואיגלאי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בביטולו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רכח</w:t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{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הוועדה</w:t>
      </w:r>
      <w:r w:rsidDel="00000000" w:rsidR="00000000" w:rsidRPr="00000000">
        <w:rPr>
          <w:rtl w:val="1"/>
        </w:rPr>
        <w:t xml:space="preserve">}</w:t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ושלחה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מגרושין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מגרושין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פרכינן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מגרושין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פרכינן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מגרושין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דגלויי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ושחטו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כמותו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ממש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ילפינן</w:t>
      </w:r>
      <w:r w:rsidDel="00000000" w:rsidR="00000000" w:rsidRPr="00000000">
        <w:rPr>
          <w:b w:val="1"/>
          <w:u w:val="single"/>
          <w:rtl w:val="1"/>
        </w:rPr>
        <w:t xml:space="preserve">;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וא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כ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השליח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כבעלים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לגמרי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ובגרושין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:), </w:t>
      </w:r>
      <w:r w:rsidDel="00000000" w:rsidR="00000000" w:rsidRPr="00000000">
        <w:rPr>
          <w:b w:val="1"/>
          <w:u w:val="single"/>
          <w:rtl w:val="1"/>
        </w:rPr>
        <w:t xml:space="preserve">משום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דכיון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דשלוחו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אדם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כמותו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לגמרי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כדנפקא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מפסח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הרי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השליח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הב</w:t>
      </w:r>
      <w:r w:rsidDel="00000000" w:rsidR="00000000" w:rsidRPr="00000000">
        <w:rPr>
          <w:b w:val="1"/>
          <w:u w:val="single"/>
          <w:rtl w:val="1"/>
        </w:rPr>
        <w:t xml:space="preserve">' </w:t>
      </w:r>
      <w:r w:rsidDel="00000000" w:rsidR="00000000" w:rsidRPr="00000000">
        <w:rPr>
          <w:b w:val="1"/>
          <w:u w:val="single"/>
          <w:rtl w:val="1"/>
        </w:rPr>
        <w:t xml:space="preserve">יהיה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כמו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השליח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הראשון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לגמרי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ויכול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למנות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הוא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שליח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</w:t>
      </w:r>
      <w:r w:rsidDel="00000000" w:rsidR="00000000" w:rsidRPr="00000000">
        <w:rPr>
          <w:b w:val="1"/>
          <w:u w:val="single"/>
          <w:rtl w:val="1"/>
        </w:rPr>
        <w:t xml:space="preserve">' </w:t>
      </w:r>
      <w:r w:rsidDel="00000000" w:rsidR="00000000" w:rsidRPr="00000000">
        <w:rPr>
          <w:b w:val="1"/>
          <w:u w:val="single"/>
          <w:rtl w:val="1"/>
        </w:rPr>
        <w:t xml:space="preserve">וכן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לעולם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ומדגלי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בגרושין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פרכינן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במחשבה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דגלויי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דנפיק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מפסח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וגרושין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שליחות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אית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שהוא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כמותו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לגמרי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והשליח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שלישי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לעולם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במידי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קפידא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תחתיו</w:t>
      </w:r>
      <w:r w:rsidDel="00000000" w:rsidR="00000000" w:rsidRPr="00000000">
        <w:rPr>
          <w:rtl w:val="1"/>
        </w:rPr>
        <w:t xml:space="preserve">…</w:t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