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מהותו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שליחות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קורדייקוס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תכתבו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לכשישתפה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אימלוכי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לכשישתפה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קמיפלגי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נידמייה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לשוטה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צילותא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וכחישותא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שגישתא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אימלוכי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אגומרי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מגויד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מחותך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דניאל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צילותא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שגישתא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מבולבל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ונתנו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שיבריא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}.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שאמרנו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סופרים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ונפסלה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בניו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כתבו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ונתנוהו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בחליו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נתרפא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דגיטא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עב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לאשמועינן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שהעלה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להתבונן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גוסס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גוסס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בנשתטה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דגיטא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בנשתטה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פדאווה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מגירושין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משלח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בחתומיו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בחתומיו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בחתומיו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בחתומיו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] (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בחתומיו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בחתומיו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בחתומיו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before="200" w:line="216" w:lineRule="auto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קידושין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</w:p>
    <w:p w:rsidR="00000000" w:rsidDel="00000000" w:rsidP="00000000" w:rsidRDefault="00000000" w:rsidRPr="00000000" w14:paraId="00000036">
      <w:pPr>
        <w:bidi w:val="1"/>
        <w:spacing w:before="200" w:line="21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1"/>
        </w:rPr>
        <w:t xml:space="preserve">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דגוסס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מגרש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אשתו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דונתן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בידה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כתיב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ובעינן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לנתינה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דתנן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1"/>
        </w:rPr>
        <w:t xml:space="preserve">אהלות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ובמסכת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שמחות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הגוסס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כחי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דבריו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נוחל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ומנחיל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וזוקק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ליבום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ופוטר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היבום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היינו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מידי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דממילא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שיעשה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נתינת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ומתנה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גמור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בפ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המביא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זקן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חולה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בחזקת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וקאמר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בגמ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בזקן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הגיע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לגבורות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וחולה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שרוב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חולים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לחיים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הגיע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לגבורות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וגוסס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שרוב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גוססים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למיתה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מיירי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כשקבל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השליח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הגט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קודם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גוסס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וכשהלך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השליח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גוסס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בשעה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גוסס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שליח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לגרשה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...</w:t>
      </w:r>
    </w:p>
    <w:p w:rsidR="00000000" w:rsidDel="00000000" w:rsidP="00000000" w:rsidRDefault="00000000" w:rsidRPr="00000000" w14:paraId="00000037">
      <w:pPr>
        <w:bidi w:val="1"/>
        <w:spacing w:before="200" w:line="21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1"/>
        </w:rPr>
        <w:t xml:space="preserve">ור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כחי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דבריו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וגיטו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גט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ומתנתו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כדברי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{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ששליח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ליתן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}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ראיה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גדולה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בגוסס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שמא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דרוב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גוססים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למיתה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יודע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עדיין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גוסס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כמת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שלוחו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מצי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])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