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אסור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לקדש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שיראנה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ותתגנה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המעכבתו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נדנוד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ואמרת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במיורק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  <w:t xml:space="preserve">….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תמהני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טב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למיתב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דו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>
          <w:b w:val="1"/>
          <w:u w:val="single"/>
        </w:rPr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ותתגנה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מיקדשא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שיבוטא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טב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למיתב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מלמיתב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ארמלו</w:t>
      </w:r>
      <w:r w:rsidDel="00000000" w:rsidR="00000000" w:rsidRPr="00000000">
        <w:rPr>
          <w:b w:val="1"/>
          <w:u w:val="single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מיקדשא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מתקדשת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עצמה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דכיון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שנתרצית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למיחש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תחזור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נדוניא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כדרב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טנדו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ארמלו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הקפידה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ניחא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לכשתגדל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דקטנה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חיישינן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ממללו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עילויה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שדעתה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תתפתה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ותשנאנו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בגדולה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וצריכא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ארמלו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דאדעתא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ארמלו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דמינח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להתקדש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לראשון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תזקק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לאחיו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ארמלו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דשומשמנא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כורסיה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דנפסא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תיקרייה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ותיתיב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דקלסא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טלפחי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לקידרא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factors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חברותא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proto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Artscroll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ומשנינן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כדריש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ארמלו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אלמנה</w:t>
      </w:r>
      <w:r w:rsidDel="00000000" w:rsidR="00000000" w:rsidRPr="00000000">
        <w:rPr>
          <w:rtl w:val="1"/>
        </w:rPr>
        <w:t xml:space="preserve">]".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דשומשמנא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כורסיה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כשומשום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]".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דנפסא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תיקרייה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</w:t>
      </w:r>
      <w:r w:rsidDel="00000000" w:rsidR="00000000" w:rsidRPr="00000000">
        <w:rPr>
          <w:rtl w:val="1"/>
        </w:rPr>
        <w:t xml:space="preserve">]".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דקלסא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טלפחי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לקידרא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]".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F">
      <w:pPr>
        <w:shd w:fill="ffffff" w:val="clear"/>
        <w:bidi w:val="1"/>
        <w:spacing w:after="100" w:before="100" w:lineRule="auto"/>
        <w:rPr>
          <w:color w:val="202122"/>
          <w:sz w:val="21"/>
          <w:szCs w:val="21"/>
        </w:rPr>
      </w:pPr>
      <w:r w:rsidDel="00000000" w:rsidR="00000000" w:rsidRPr="00000000">
        <w:rPr>
          <w:color w:val="202122"/>
          <w:sz w:val="21"/>
          <w:szCs w:val="21"/>
          <w:rtl w:val="1"/>
        </w:rPr>
        <w:t xml:space="preserve">חוברת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זה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סיני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-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שיחה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לפרשת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קורח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(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עמ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' 2–3):</w:t>
      </w:r>
    </w:p>
    <w:p w:rsidR="00000000" w:rsidDel="00000000" w:rsidP="00000000" w:rsidRDefault="00000000" w:rsidRPr="00000000" w14:paraId="00000050">
      <w:pPr>
        <w:shd w:fill="ffffff" w:val="clear"/>
        <w:bidi w:val="1"/>
        <w:spacing w:after="100" w:before="100" w:lineRule="auto"/>
        <w:rPr>
          <w:color w:val="202122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"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אשה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מעדיפה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לחיות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בשניים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מאשר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לבד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.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לחזקה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זו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אין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כל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קשר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עם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הסטטוס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החברתי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והפוליטי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של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האשה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בזמן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העתיק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.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אין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החזקה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בנויה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על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גורמים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סוציולוגיים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.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זהו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פסוק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בבראשית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: '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אל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אישך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תשוקתך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'.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זו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היא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קללה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מטפיזית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מוטבעת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בשורש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האישיות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הנשית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.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האשה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-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כשהיא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בודדה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-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סובלת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ללא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השוואה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יותר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מהאיש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...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וזה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לא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ישתנה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לעולם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- '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כימי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השמים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על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הארץ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'.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אין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זו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עובדה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פסיכולוגית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אלא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עובדה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אקזיסטנציאלית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.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אין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זו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תוצאה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של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סטטוס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נחות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של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האשה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,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אלא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זה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מתחייב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מההבחנה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היסודית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בין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אישיות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האשה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ובין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אישיות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האיש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.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חיי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רווקה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זקנה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הם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הרבה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יותר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אומללים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וטרגיים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מחיי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רווק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זקן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.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זאת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הייתה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אמת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בזמן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העתיק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,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וזו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עדיין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אמת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בהווה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,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וזו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תהיה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אמת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גם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בעוד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אלף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שנה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מעכשיו</w:t>
      </w:r>
      <w:r w:rsidDel="00000000" w:rsidR="00000000" w:rsidRPr="00000000">
        <w:rPr>
          <w:color w:val="202122"/>
          <w:sz w:val="21"/>
          <w:szCs w:val="21"/>
          <w:rtl w:val="1"/>
        </w:rPr>
        <w:t xml:space="preserve">".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ונשיכת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הפדחת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וריפאו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נרפאו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