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מקדש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מצווה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מבשלוחו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משבלוחו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tl w:val="0"/>
        </w:rPr>
        <w:t xml:space="preserve">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involvement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significant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שמכל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דמחריך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למחריך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ישעיהו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וקראת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מכובד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ומתעטפים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ומכבוד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b w:val="1"/>
          <w:rtl w:val="1"/>
        </w:rPr>
        <w:t xml:space="preserve">מסדר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שולחנו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וביציאתו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לתקן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לכבוד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ישתדל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להכין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בעצמו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לצרכי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לכבדו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להשחיז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דחמירא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ישתדל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בהרמב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יצרה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קדשה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אישות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הקידושין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וממילא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מבשלוחה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למיעבדה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ללישנא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דידי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מבשלוחו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ספרא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מפורשת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והכינו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יביאו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גופא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בפלגש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פרחי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אשמעינן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סיפא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בנותיכם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לאנשים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מרומי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בהכנה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הכתובה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דוקא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שיעורי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דכתובות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בשחיטה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שהבשר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ישחט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):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לנדא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ויונח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b w:val="1"/>
          <w:rtl w:val="1"/>
        </w:rPr>
        <w:t xml:space="preserve">ואולם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שביארתי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בהחפץ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שלוחם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ושלוחו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כמותו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דשתי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העשיה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בכל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עשייתה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לכתחילה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בהבעלים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בעצמם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מבשלוחם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דבשתי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נעשים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להמשלח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חלק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ואחיזה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בעשית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המצוה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כלל</w:t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rtl w:val="1"/>
        </w:rPr>
        <w:t xml:space="preserve">דבקידושי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ששנינו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דהקפידו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במיורק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שהתעסקות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