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ברכת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חתנים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Furthermore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whole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additional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According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מכסת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aka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prohibited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מסכתות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b w:val="1"/>
          <w:u w:val="single"/>
          <w:rtl w:val="1"/>
        </w:rPr>
        <w:t xml:space="preserve">כלה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אסורה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לבעלה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כנדה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ומניין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ויברכו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אחותינו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ויירש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זרעך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שנאיו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מזקני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וישבו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rtl w:val="1"/>
        </w:rPr>
        <w:t xml:space="preserve">ויאמרו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באפרתה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וביהודה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)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ראוייה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ונשאל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ובכתבי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איסרלן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המיימוני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דשייכי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0"/>
        </w:rPr>
        <w:t xml:space="preserve">? (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necessary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0"/>
        </w:rPr>
        <w:t xml:space="preserve">?)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: …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והטעם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מבואר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המצות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לעשייתן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b w:val="1"/>
          <w:u w:val="single"/>
          <w:rtl w:val="1"/>
        </w:rPr>
        <w:t xml:space="preserve">והר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דפסחים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שתכנס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תפילה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ושבח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הרמב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שחופה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ייחוד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ובעינן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ראויה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לבעלה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המארס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כניסה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לחופה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נשואה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וחוזר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שתטהר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שתטהר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במפורסם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שייחדה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האירוסין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ושיפרסם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הנשואין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1"/>
        </w:rPr>
        <w:t xml:space="preserve">ויקח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בועז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לגרשה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תפלה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ושבח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תדע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מברכין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אותם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תפקיד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היין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מביאין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תחילה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ומסדר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הכוס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צימוקים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ויסחוט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ימצא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צמוקים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סגי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כסא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הכוס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הקדמת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חתנים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לקידושין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(</w:t>
      </w:r>
      <w:r w:rsidDel="00000000" w:rsidR="00000000" w:rsidRPr="00000000">
        <w:rPr>
          <w:rtl w:val="1"/>
        </w:rPr>
        <w:t xml:space="preserve">מחה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ליארס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ארוסין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וקדושין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'):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פתחי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צ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הרוא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בריב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אירוסין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למה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צריך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עשרה</w:t>
      </w:r>
      <w:r w:rsidDel="00000000" w:rsidR="00000000" w:rsidRPr="00000000">
        <w:rPr>
          <w:b w:val="1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בעשרה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שנאמר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ויקח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אנשים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מזקני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מהכא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במקהלות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אלהים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ממקור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לכדתניא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במקהלות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ואידך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גאונים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כנסן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שבקדושה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כינס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במקהלות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u w:val="single"/>
          <w:rtl w:val="1"/>
        </w:rPr>
        <w:t xml:space="preserve">כת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ברוב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מלך</w:t>
      </w:r>
      <w:r w:rsidDel="00000000" w:rsidR="00000000" w:rsidRPr="00000000">
        <w:rPr>
          <w:b w:val="1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שאילתות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משמחים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אינון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המניין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במפורסם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שייחדה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האירוסין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ושיפרסם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הדבר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הנשואין</w:t>
      </w:r>
      <w:r w:rsidDel="00000000" w:rsidR="00000000" w:rsidRPr="00000000">
        <w:rPr>
          <w:u w:val="single"/>
          <w:rtl w:val="0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ויקח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בועז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עשרה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אנשים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לגרשה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מפטירין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בנביא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ומושב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ותנחומי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ובקרקעות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ונקדשתי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שבקדושה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פחות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ונקדשתי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עמודו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בציר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ארעא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אבלים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בעשרה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לאלהינו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בציר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ארעא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יחס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חתנים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בחופה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וז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ימי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משתנה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הללו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תפלה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ושבח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תדע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מברכין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אותם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לעשייתן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כנדה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b w:val="1"/>
          <w:rtl w:val="1"/>
        </w:rPr>
        <w:t xml:space="preserve">בבית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ארבע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וסעודה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שאוכלים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נישואין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אמורים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האוכלין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שעמדו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ושמעו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האוכלין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מברכין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בשבילם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מזון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ברכות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כדרך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שמברכין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נישואין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b w:val="1"/>
          <w:rtl w:val="1"/>
        </w:rPr>
        <w:t xml:space="preserve">ואלו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תבניתו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מחופתם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ונערים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מנגינתם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b w:val="1"/>
          <w:rtl w:val="1"/>
        </w:rPr>
        <w:t xml:space="preserve">וצריך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הנישואין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תבניתו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מצהלות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מנגינתם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ולדידי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דלדידהו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דלנשואין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בשהשמחה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נחשב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פנים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חדשות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וכמה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צריכים</w:t>
      </w:r>
      <w:r w:rsidDel="00000000" w:rsidR="00000000" w:rsidRPr="00000000">
        <w:rPr>
          <w:b w:val="1"/>
          <w:u w:val="single"/>
          <w:rtl w:val="1"/>
        </w:rPr>
        <w:t xml:space="preserve">? 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spacing w:before="200" w:line="216" w:lineRule="auto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1"/>
        </w:rPr>
        <w:t xml:space="preserve">סב</w:t>
      </w:r>
    </w:p>
    <w:p w:rsidR="00000000" w:rsidDel="00000000" w:rsidP="00000000" w:rsidRDefault="00000000" w:rsidRPr="00000000" w14:paraId="00000083">
      <w:pPr>
        <w:bidi w:val="1"/>
        <w:spacing w:before="200" w:line="216" w:lineRule="auto"/>
        <w:rPr>
          <w:rFonts w:ascii="Calibri" w:cs="Calibri" w:eastAsia="Calibri" w:hAnsi="Calibri"/>
        </w:rPr>
      </w:pPr>
      <w:r w:rsidDel="00000000" w:rsidR="00000000" w:rsidRPr="00000000">
        <w:rPr>
          <w:rtl w:val="1"/>
        </w:rPr>
        <w:t xml:space="preserve">ומברכין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חדשות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'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1"/>
        </w:rPr>
        <w:t xml:space="preserve">דכתובות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:)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ברכת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חתנים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שבעה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רב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יהודה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שבאו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חדשות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ופירש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שבאו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המשתה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פנים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חדשות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אתמול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והוא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שבאו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חדשות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אכלו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עתה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בשעת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החופה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כתב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מהלכות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האוכלים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אחרים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נשואין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בשעת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נשואין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מברכים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1"/>
        </w:rPr>
        <w:t xml:space="preserve">בשבילם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ברכת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המזון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שבעה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ברכות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כדרך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שמברכין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בשעת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 </w:t>
      </w:r>
      <w:r w:rsidDel="00000000" w:rsidR="00000000" w:rsidRPr="00000000">
        <w:rPr>
          <w:rtl w:val="1"/>
        </w:rPr>
        <w:t xml:space="preserve">נשואין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נשאת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אתמול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בבחור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8D">
      <w:pPr>
        <w:bidi w:val="1"/>
        <w:rPr/>
      </w:pP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שהנאספים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יתבונן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שמתאספים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כשהחתנים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1"/>
        </w:rPr>
        <w:t xml:space="preserve">ואולם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פחות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משנים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פנים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רבים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rtl w:val="1"/>
        </w:rPr>
        <w:t xml:space="preserve">והפחות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לאמרם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8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