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suggestions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assume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though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direct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paradigm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allows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משתעבדת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Additionally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Rambam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general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essential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component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points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towards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emphasis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relationship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idea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closeness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connection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essence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reconsider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focusing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primarily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legal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formal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initiation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legal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status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closeness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connection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insufficient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fulfil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entirety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fullfledged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fullfledged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starting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obligation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understanding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0"/>
        </w:rPr>
        <w:t xml:space="preserve">)?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Pride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Prejudice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obligation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accompanies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engagement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marriage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First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let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review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indications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several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elements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together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דרכים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בקידושין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….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משלשתן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נקנית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גדר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חופה</w:t>
      </w:r>
    </w:p>
    <w:p w:rsidR="00000000" w:rsidDel="00000000" w:rsidP="00000000" w:rsidRDefault="00000000" w:rsidRPr="00000000" w14:paraId="00000015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ויפרישנה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רסו</w:t>
      </w:r>
      <w:r w:rsidDel="00000000" w:rsidR="00000000" w:rsidRPr="00000000">
        <w:rPr>
          <w:rtl w:val="1"/>
        </w:rPr>
        <w:t xml:space="preserve">]….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שהביאה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אביה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לביתו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נשואין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ירוחם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חופה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הונא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שחופה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קונה</w:t>
      </w:r>
      <w:r w:rsidDel="00000000" w:rsidR="00000000" w:rsidRPr="00000000">
        <w:rPr>
          <w:b w:val="1"/>
          <w:u w:val="single"/>
          <w:rtl w:val="1"/>
        </w:rPr>
        <w:t xml:space="preserve">):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קירוב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כולי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דגומרת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חופות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מקריבא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טפי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rtl w:val="0"/>
        </w:rPr>
        <w:t xml:space="preserve">..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נותנת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ליקרא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שארו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ואשתו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ובעולת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לחייבה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בחנק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ולירשה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ייחוד</w:t>
      </w:r>
      <w:r w:rsidDel="00000000" w:rsidR="00000000" w:rsidRPr="00000000">
        <w:rPr>
          <w:b w:val="1"/>
          <w:u w:val="singl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נשואין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קודם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קידושין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כניסת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ונישואין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הקידושין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בכך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ויבעלו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ירוחם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והכניסה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גומרת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הקדושין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ובמישרי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  <w:t xml:space="preserve">------------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מקורות</w:t>
      </w:r>
      <w:r w:rsidDel="00000000" w:rsidR="00000000" w:rsidRPr="00000000">
        <w:rPr>
          <w:b w:val="1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whether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accomplish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both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Presumably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much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truely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separate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elements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combined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perhaps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directly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complete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while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circumspect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pasken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ויפרישנה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very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clear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indications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least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two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stages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inherently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distinct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However, perhaps fundamentally there are even more components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בשוטיתא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בשוקא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שידוכי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נהרדעי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שידוכי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בשידוכי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פריצותא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בשוטיתא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נגדיה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ואצרכה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פריצותא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פריצותא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פריצותא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מכוער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דביבמות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נראה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דהיינו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פריצות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שעושין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תחלת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קניינן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בביאה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דומיא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דמקדש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שידוכי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חוצפא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חתנים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Furthermore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additional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According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מכסת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aka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prohibited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מסכתות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כלה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אסורה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לבעלה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כנדה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ויברכו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אחותינו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ויירש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זרעך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מזקני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וישבו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ויאמרו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ונשאל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איסרלן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המיימוני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דשייכי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0"/>
        </w:rPr>
        <w:t xml:space="preserve">? (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necessary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0"/>
        </w:rPr>
        <w:t xml:space="preserve">?)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: …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והטעם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מבואר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המצות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לעשייתן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b w:val="1"/>
          <w:u w:val="single"/>
          <w:rtl w:val="1"/>
        </w:rPr>
        <w:t xml:space="preserve">והר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ושבח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הרמב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לבעלה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1"/>
        </w:rPr>
        <w:t xml:space="preserve">המארס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וחוזר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שתטהר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שתטהר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במפורסם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שייחדה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האירוסין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ושיפרסם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הנשואין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ויקח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בועז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ושבח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תדע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מברכין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תפקיד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היין</w:t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צימוקים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ויסחוט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צמוקים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סגי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כסא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הקדמת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חתנים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לקידושין</w:t>
      </w:r>
    </w:p>
    <w:p w:rsidR="00000000" w:rsidDel="00000000" w:rsidP="00000000" w:rsidRDefault="00000000" w:rsidRPr="00000000" w14:paraId="000000A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rPr/>
      </w:pP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מחה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ליארס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ארוסין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'):</w:t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rPr/>
      </w:pPr>
      <w:r w:rsidDel="00000000" w:rsidR="00000000" w:rsidRPr="00000000">
        <w:rPr>
          <w:rtl w:val="1"/>
        </w:rPr>
        <w:t xml:space="preserve">פתחי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הרוא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בריב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אירוסין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עשרה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B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בעשרה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מזקני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במקהלות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אלהים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ממקור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במקהלות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>
          <w:rtl w:val="1"/>
        </w:rPr>
        <w:t xml:space="preserve">גאונים</w:t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שבקדושה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כת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ברוב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מלך</w:t>
      </w:r>
      <w:r w:rsidDel="00000000" w:rsidR="00000000" w:rsidRPr="00000000">
        <w:rPr>
          <w:b w:val="1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/>
      </w:pPr>
      <w:r w:rsidDel="00000000" w:rsidR="00000000" w:rsidRPr="00000000">
        <w:rPr>
          <w:rtl w:val="1"/>
        </w:rPr>
        <w:t xml:space="preserve">שאילתות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C3">
      <w:pPr>
        <w:bidi w:val="1"/>
        <w:rPr/>
      </w:pP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משמחים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C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C7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במפורסם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שייחדה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האירוסין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ושיפרסם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הנשואין</w:t>
      </w:r>
      <w:r w:rsidDel="00000000" w:rsidR="00000000" w:rsidRPr="00000000">
        <w:rPr>
          <w:u w:val="single"/>
          <w:rtl w:val="0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ויקח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בועז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עשרה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אנשים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C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CB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מפטירין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ובקרקעות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C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ונקדשתי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שבקדושה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ונקדשתי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D">
      <w:pPr>
        <w:bidi w:val="1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עמודו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בציר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ארעא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בציר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ארעא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יחס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חתנים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וז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ימי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משתנה</w:t>
      </w:r>
    </w:p>
    <w:p w:rsidR="00000000" w:rsidDel="00000000" w:rsidP="00000000" w:rsidRDefault="00000000" w:rsidRPr="00000000" w14:paraId="000000D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D7">
      <w:pPr>
        <w:bidi w:val="1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ושבח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תדע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מברכין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D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DC">
      <w:pPr>
        <w:bidi w:val="1"/>
        <w:rPr/>
      </w:pP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שאוכלים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DF">
      <w:pPr>
        <w:bidi w:val="1"/>
        <w:rPr/>
      </w:pP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האוכלין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שעמדו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ושמעו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האוכלין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מברכין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בשבילם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מזון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שמברכין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נישואין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E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E2">
      <w:pPr>
        <w:bidi w:val="1"/>
        <w:rPr/>
      </w:pPr>
      <w:r w:rsidDel="00000000" w:rsidR="00000000" w:rsidRPr="00000000">
        <w:rPr>
          <w:b w:val="1"/>
          <w:rtl w:val="1"/>
        </w:rPr>
        <w:t xml:space="preserve">ואלו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תבניתו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מחופתם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ונערים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E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E6">
      <w:pPr>
        <w:bidi w:val="1"/>
        <w:rPr/>
      </w:pPr>
      <w:r w:rsidDel="00000000" w:rsidR="00000000" w:rsidRPr="00000000">
        <w:rPr>
          <w:b w:val="1"/>
          <w:rtl w:val="1"/>
        </w:rPr>
        <w:t xml:space="preserve">וצריך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תבניתו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E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EB">
      <w:pPr>
        <w:bidi w:val="1"/>
        <w:rPr/>
      </w:pPr>
      <w:r w:rsidDel="00000000" w:rsidR="00000000" w:rsidRPr="00000000">
        <w:rPr>
          <w:rtl w:val="1"/>
        </w:rPr>
        <w:t xml:space="preserve">ולדידי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בשהשמחה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E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