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"}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וניתני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מעיקרא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ולבסוף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דאסר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concerned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מסכתא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called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היבמה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ליבם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דקבעי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למיתני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וכסף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דאסר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כהקדש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דמתיחדת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ונתני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לאקדומי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דמיתרצא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ואישות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ומתרץ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}...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אחשביה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….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בתכשיטין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:).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כדיליף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מוכהן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נשטפה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מיפקדא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מיפקדא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מיענשא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שמשנתארסה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מבמזלה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משרשי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ואמנם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קנינים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…. 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וסודור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b w:val="1"/>
          <w:u w:val="single"/>
          <w:rtl w:val="1"/>
        </w:rPr>
        <w:t xml:space="preserve">נשתעבדו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מדסקרתא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u w:val="single"/>
          <w:rtl w:val="1"/>
        </w:rPr>
        <w:t xml:space="preserve">בההיא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מיניה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גמר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ואקני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יחליפנו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לבועז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הנאת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קבלתו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שחשבו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