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spoken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nature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already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However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revisit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contrast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really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defines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1- In terms of the parties involved and their interaction?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2- In terms of what are you giving/doing?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following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cases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seem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different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indication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essence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במלוה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דאזקפה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הילך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שתחזירהו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באשה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בתרומה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קסבר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אתרוג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והחזירו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כוותיך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b w:val="1"/>
        </w:rPr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לפלוני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}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b w:val="1"/>
          <w:rtl w:val="1"/>
        </w:rPr>
        <w:t xml:space="preserve">ואקדש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ערב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משעבדא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כנעני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כנעני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יוכיח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הילך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זוטרא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איפכא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ובחזקה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איתמר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וצריכא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מלמיתב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ארמלו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דאיתיהיב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כפועל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שהרכבתיך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שהושבתיך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שארכיבך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שאושיבך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בצוותא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keep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company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ואקדש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תיובתא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  <w:t xml:space="preserve">--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מלוה</w:t>
      </w:r>
      <w:r w:rsidDel="00000000" w:rsidR="00000000" w:rsidRPr="00000000">
        <w:rPr>
          <w:b w:val="1"/>
          <w:u w:val="single"/>
          <w:rtl w:val="1"/>
        </w:rPr>
        <w:t xml:space="preserve">: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שהלויתיך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u w:val="single"/>
          <w:rtl w:val="1"/>
        </w:rPr>
        <w:t xml:space="preserve">דקיחה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משדה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עפרון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גמרינן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דיהיב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מידי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בשעת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קידושין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להוצאה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ומעות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אחרים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ואזיל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אילימא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דאזקפה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הלואתו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התקדשי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בהנאה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נותנת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שיפייסני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1"/>
        </w:rPr>
        <w:t xml:space="preserve">אבני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טז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דיליף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עפרון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דיליף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עפרון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עפרון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דיהיב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אברהם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דיהיב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כחליפין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ומקני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b w:val="1"/>
          <w:rtl w:val="1"/>
        </w:rPr>
        <w:t xml:space="preserve">המקדש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ובמכר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לשלטון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לאפוקי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שמחל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מקצתה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בהנאה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שמחלתי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שהנאה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פרוטה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דהנאה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חשובה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ככסף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דמשתעבד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דדעתיה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אזוזי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להוצאה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הפרעון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ומונחין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דארווח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שיפייסני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כאילו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נתנה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פרוטה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גמור</w:t>
      </w:r>
      <w:r w:rsidDel="00000000" w:rsidR="00000000" w:rsidRPr="00000000">
        <w:rPr>
          <w:rtl w:val="0"/>
        </w:rPr>
        <w:t xml:space="preserve"> ….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לעולם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מרשותו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מכניס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לרשותה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ששעבודה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ליהנות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מעתה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הוציאה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הנאתו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משכון</w:t>
      </w:r>
      <w:r w:rsidDel="00000000" w:rsidR="00000000" w:rsidRPr="00000000">
        <w:rPr>
          <w:b w:val="1"/>
          <w:u w:val="single"/>
          <w:rtl w:val="1"/>
        </w:rPr>
        <w:t xml:space="preserve">- </w:t>
      </w:r>
      <w:r w:rsidDel="00000000" w:rsidR="00000000" w:rsidRPr="00000000">
        <w:rPr>
          <w:b w:val="1"/>
          <w:u w:val="single"/>
          <w:rtl w:val="1"/>
        </w:rPr>
        <w:t xml:space="preserve">אם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מלווה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משכון</w:t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והחזיר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המשכון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זו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מקודשת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נהנית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במשכון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מעתה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הגיעה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לידה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ואפי</w:t>
      </w:r>
      <w:r w:rsidDel="00000000" w:rsidR="00000000" w:rsidRPr="00000000">
        <w:rPr>
          <w:b w:val="1"/>
          <w:u w:val="single"/>
          <w:rtl w:val="1"/>
        </w:rPr>
        <w:t xml:space="preserve">' </w:t>
      </w:r>
      <w:r w:rsidDel="00000000" w:rsidR="00000000" w:rsidRPr="00000000">
        <w:rPr>
          <w:b w:val="1"/>
          <w:u w:val="single"/>
          <w:rtl w:val="1"/>
        </w:rPr>
        <w:t xml:space="preserve">אין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מחזיר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משכון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שמוחל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המלוה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ואף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שהמשכון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בידו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דהא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המקדש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במלוה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שיש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משכון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קאמר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המקדש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במשכון</w:t>
      </w:r>
      <w:r w:rsidDel="00000000" w:rsidR="00000000" w:rsidRPr="00000000">
        <w:rPr>
          <w:rtl w:val="0"/>
        </w:rPr>
        <w:t xml:space="preserve"> ….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turns the debt into a commodity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מתנה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מנת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להחזיר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אוחז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ומחזירו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שתחזיריהו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החזירתו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הגיע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השותפין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מיתפסי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חליפין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ומדרבנן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אפקעינהו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פדוי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חליפין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בחליפין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אטו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חליפין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חליפין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'), </w:t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ההיא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הנאה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האומר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כפועל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והתניא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שהרכבתיך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שהושבתיך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שארכיבך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שאושיבך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בספינה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כדימוס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תיובתא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דוחקיה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לאוקמיה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מתניתין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ניתני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לאפוקי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שמחל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מקצתה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בהנאה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שמחלתי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שהנאה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פרוטה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דהנאה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חשובה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ככסף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1"/>
        </w:rPr>
        <w:t xml:space="preserve">וכדאמרינן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דמשתעבד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דדעתיה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אזוזי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להוצאה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הפרעון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בשבועה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ומונחין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פסיקתא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6D">
      <w:pPr>
        <w:bidi w:val="1"/>
        <w:rPr/>
      </w:pPr>
      <w:r w:rsidDel="00000000" w:rsidR="00000000" w:rsidRPr="00000000">
        <w:rPr>
          <w:rtl w:val="1"/>
        </w:rPr>
        <w:t xml:space="preserve">דארווח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זימנא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בקונטרס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שיפייסני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כאילו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נתנה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פרוטה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ממש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גמור</w:t>
      </w:r>
      <w:r w:rsidDel="00000000" w:rsidR="00000000" w:rsidRPr="00000000">
        <w:rPr>
          <w:rtl w:val="0"/>
        </w:rPr>
        <w:t xml:space="preserve"> ….</w:t>
      </w:r>
    </w:p>
    <w:p w:rsidR="00000000" w:rsidDel="00000000" w:rsidP="00000000" w:rsidRDefault="00000000" w:rsidRPr="00000000" w14:paraId="0000006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ערב</w:t>
      </w:r>
    </w:p>
    <w:p w:rsidR="00000000" w:rsidDel="00000000" w:rsidP="00000000" w:rsidRDefault="00000000" w:rsidRPr="00000000" w14:paraId="00000071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3">
      <w:pPr>
        <w:bidi w:val="1"/>
        <w:rPr/>
      </w:pP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</w:t>
      </w:r>
      <w:r w:rsidDel="00000000" w:rsidR="00000000" w:rsidRPr="00000000">
        <w:rPr>
          <w:rtl w:val="1"/>
        </w:rPr>
        <w:t xml:space="preserve"> - ….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זוזי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דחשיב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כאילו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מקבל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מלוה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עצמו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כמו</w:t>
      </w:r>
      <w:r w:rsidDel="00000000" w:rsidR="00000000" w:rsidRPr="00000000">
        <w:rPr>
          <w:b w:val="1"/>
          <w:u w:val="single"/>
          <w:rtl w:val="1"/>
        </w:rPr>
        <w:t xml:space="preserve"> (</w:t>
      </w:r>
      <w:r w:rsidDel="00000000" w:rsidR="00000000" w:rsidRPr="00000000">
        <w:rPr>
          <w:b w:val="1"/>
          <w:u w:val="single"/>
          <w:rtl w:val="1"/>
        </w:rPr>
        <w:t xml:space="preserve">קדושין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דמקודשת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מדין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ערב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דחשוב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כאילו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קבלה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ממנו</w:t>
      </w:r>
      <w:r w:rsidDel="00000000" w:rsidR="00000000" w:rsidRPr="00000000">
        <w:rPr>
          <w:rtl w:val="0"/>
        </w:rPr>
        <w:t xml:space="preserve"> ….</w:t>
      </w:r>
    </w:p>
    <w:p w:rsidR="00000000" w:rsidDel="00000000" w:rsidP="00000000" w:rsidRDefault="00000000" w:rsidRPr="00000000" w14:paraId="0000007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78">
      <w:pPr>
        <w:bidi w:val="1"/>
        <w:rPr/>
      </w:pP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בהנאת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אף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הגיע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כלום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נהנית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ברצונה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שנעשה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ונהנה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פלוני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בגללה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בהנאת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7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7C">
      <w:pPr>
        <w:bidi w:val="1"/>
        <w:rPr/>
      </w:pPr>
      <w:r w:rsidDel="00000000" w:rsidR="00000000" w:rsidRPr="00000000">
        <w:rPr>
          <w:rtl w:val="1"/>
        </w:rPr>
        <w:t xml:space="preserve">ואקדש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וכשנתנו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מטי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לידה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bidi w:val="1"/>
        <w:rPr/>
      </w:pP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ללמוד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7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