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do the eidim need to see/know?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וצריכים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הנתינה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לרשותה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הנתינה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ששמעו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התקדשי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בחפץ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פלוני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הנתינה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הולכין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אומדנות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והוכחות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שבכותל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המכחישים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…..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במרדכי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הנתינה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המוכיח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להעיד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המעשה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בשפופרת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המעש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במיגו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כראיה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]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במגו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והב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] (</w:t>
      </w:r>
      <w:r w:rsidDel="00000000" w:rsidR="00000000" w:rsidRPr="00000000">
        <w:rPr>
          <w:rtl w:val="1"/>
        </w:rPr>
        <w:t xml:space="preserve">סקי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שבסמוך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הנתינה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הנתינה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כשאומרת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נאמנת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1"/>
        </w:rPr>
        <w:t xml:space="preserve">ומשמע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מדבריהם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כשמכחשת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שהכריעו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להכחיש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שהכריעו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שהכריעו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ולכן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טביעת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באומרת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נאמנת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יודעין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ומכירין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לכסות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הצנועות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שפשטה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מכסתה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הודאתן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להכיר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המתקדשת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דאתתא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והכירה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קצה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השהיש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וחזירתה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מעדותם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פתחי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קהלת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יעקב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שחולק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בפשיטות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וראיה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יודעין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Appointing Witnesses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2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והוכחות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שבכותל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המכחישים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שנתקדשה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נתקדשה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להפך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וחקירה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/). </w:t>
      </w:r>
      <w:r w:rsidDel="00000000" w:rsidR="00000000" w:rsidRPr="00000000">
        <w:rPr>
          <w:rtl w:val="1"/>
        </w:rPr>
        <w:t xml:space="preserve">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דקדושין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פתחי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מעצמן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כיוונו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למיחזי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ומקודשת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פנים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נתכוונתי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בעדותו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…. </w:t>
      </w:r>
      <w:r w:rsidDel="00000000" w:rsidR="00000000" w:rsidRPr="00000000">
        <w:rPr>
          <w:rtl w:val="1"/>
        </w:rPr>
        <w:t xml:space="preserve">והאריך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דלמיחזי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}…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