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Secret Witnesses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שיראו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והמתקדשת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וכוונתי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פאדוואה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נרא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שכוונו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….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שכוונו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יודעין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שמקבלת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סהדי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קבלה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שכוונת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אמתת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יודעים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שכוונ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דכאן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</w:t>
      </w:r>
      <w:r w:rsidDel="00000000" w:rsidR="00000000" w:rsidRPr="00000000">
        <w:rPr>
          <w:rtl w:val="1"/>
        </w:rPr>
        <w:t xml:space="preserve">'...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וכוונתי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כוונתם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הפקיעה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בח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סהדי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קבלה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כוונתם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כשירים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מרחוק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דתלי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אבני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והמתקדשת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וכסבורה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כוונתם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