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Context as a mitigating factor </w:t>
      </w:r>
    </w:p>
    <w:p w:rsidR="00000000" w:rsidDel="00000000" w:rsidP="00000000" w:rsidRDefault="00000000" w:rsidRPr="00000000" w14:paraId="0000000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4">
      <w:pPr>
        <w:bidi w:val="1"/>
        <w:rPr/>
      </w:pP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מזבין</w:t>
      </w:r>
      <w:r w:rsidDel="00000000" w:rsidR="00000000" w:rsidRPr="00000000">
        <w:rPr>
          <w:rtl w:val="1"/>
        </w:rPr>
        <w:t xml:space="preserve"> {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} </w:t>
      </w: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פתכייתא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מיהבה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חמא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מיהבה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בחנותא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כסא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יהבינא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אשקויי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אשקיין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אשקויי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אשקיין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מדקלא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אתאי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איתתא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מישדא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זביד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מישדא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איבעיא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להו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אשקי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ושדי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מהו</w:t>
      </w:r>
      <w:r w:rsidDel="00000000" w:rsidR="00000000" w:rsidRPr="00000000">
        <w:rPr>
          <w:b w:val="1"/>
          <w:rtl w:val="1"/>
        </w:rPr>
        <w:t xml:space="preserve">?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רבינא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;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תגא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דמלכא</w:t>
      </w:r>
      <w:r w:rsidDel="00000000" w:rsidR="00000000" w:rsidRPr="00000000">
        <w:rPr>
          <w:b w:val="1"/>
          <w:rtl w:val="1"/>
        </w:rPr>
        <w:t xml:space="preserve">!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והלכתא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.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והלכתא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שיראי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שומא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0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bidi w:val="1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07">
      <w:pPr>
        <w:bidi w:val="1"/>
        <w:rPr/>
      </w:pPr>
      <w:r w:rsidDel="00000000" w:rsidR="00000000" w:rsidRPr="00000000">
        <w:rPr>
          <w:rtl w:val="1"/>
        </w:rPr>
        <w:t xml:space="preserve">חומרי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בוטייני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וחורזין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בצואריהן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גורסין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פתכייתא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זכוכית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טבעות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וקורין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פוריל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רבותינו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אושטנית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rPr/>
      </w:pPr>
      <w:r w:rsidDel="00000000" w:rsidR="00000000" w:rsidRPr="00000000">
        <w:rPr>
          <w:rtl w:val="1"/>
        </w:rPr>
        <w:t xml:space="preserve">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הענק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9">
      <w:pPr>
        <w:bidi w:val="1"/>
        <w:rPr/>
      </w:pPr>
      <w:r w:rsidDel="00000000" w:rsidR="00000000" w:rsidRPr="00000000">
        <w:rPr>
          <w:rtl w:val="1"/>
        </w:rPr>
        <w:t xml:space="preserve">מיקדשת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שאילה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/>
      </w:pP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ושדי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כפלתיה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לדיבורא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/>
      </w:pPr>
      <w:r w:rsidDel="00000000" w:rsidR="00000000" w:rsidRPr="00000000">
        <w:rPr>
          <w:rtl w:val="1"/>
        </w:rPr>
        <w:t xml:space="preserve">תגא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דמלכא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בכתר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נשבע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C">
      <w:pPr>
        <w:bidi w:val="1"/>
        <w:rPr/>
      </w:pPr>
      <w:r w:rsidDel="00000000" w:rsidR="00000000" w:rsidRPr="00000000">
        <w:rPr>
          <w:rtl w:val="1"/>
        </w:rPr>
        <w:t xml:space="preserve">והלכתא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וישלים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D">
      <w:pPr>
        <w:bidi w:val="1"/>
        <w:rPr/>
      </w:pPr>
      <w:r w:rsidDel="00000000" w:rsidR="00000000" w:rsidRPr="00000000">
        <w:rPr>
          <w:rtl w:val="1"/>
        </w:rPr>
        <w:t xml:space="preserve">כרבא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נחמן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לעיל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/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/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/) </w:t>
      </w:r>
      <w:r w:rsidDel="00000000" w:rsidR="00000000" w:rsidRPr="00000000">
        <w:rPr>
          <w:rtl w:val="1"/>
        </w:rPr>
        <w:t xml:space="preserve">מנה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משכון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bidi w:val="1"/>
        <w:rPr/>
      </w:pP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</w:t>
      </w:r>
    </w:p>
    <w:p w:rsidR="00000000" w:rsidDel="00000000" w:rsidP="00000000" w:rsidRDefault="00000000" w:rsidRPr="00000000" w14:paraId="00000014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שענינם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תשחק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בלבד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5">
      <w:pPr>
        <w:bidi w:val="1"/>
        <w:ind w:left="720" w:firstLine="0"/>
        <w:rPr/>
      </w:pP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ואם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וקבלה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בשתיקה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בהתחילה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התחיל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לדבר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תתקדש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שחוק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וקבלה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ממנו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ספק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סברת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). </w:t>
      </w:r>
    </w:p>
    <w:p w:rsidR="00000000" w:rsidDel="00000000" w:rsidP="00000000" w:rsidRDefault="00000000" w:rsidRPr="00000000" w14:paraId="00000016">
      <w:pPr>
        <w:bidi w:val="1"/>
        <w:rPr/>
      </w:pP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ואמרה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השקני</w:t>
      </w:r>
      <w:r w:rsidDel="00000000" w:rsidR="00000000" w:rsidRPr="00000000">
        <w:rPr>
          <w:rtl w:val="1"/>
        </w:rPr>
        <w:t xml:space="preserve">, (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והשקה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השקיני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תשחק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שנתנו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וקבלה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17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rPr/>
      </w:pPr>
      <w:r w:rsidDel="00000000" w:rsidR="00000000" w:rsidRPr="00000000">
        <w:rPr>
          <w:rtl w:val="1"/>
        </w:rPr>
        <w:t xml:space="preserve">חלקת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מחוקק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A">
      <w:pPr>
        <w:bidi w:val="1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יט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- 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פעם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בשתיקה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וקבלה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כהודאה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וסמכה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1D">
      <w:pPr>
        <w:bidi w:val="1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מאישות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ופשוט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לתמוה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שתקה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וקיבלה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משמע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דמקודשת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בסמוך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שאכתוב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1E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bidi w:val="1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שנתנו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וקיבלה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בפסקיו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המעשים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הנזכרים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הרשב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תחלה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והר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ן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דיבור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ראשון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כתב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דטעמא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דאדיבורא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סמכא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לשם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קידושין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יהיבנא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מיקדשת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מיהבא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כדקאמר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ומקודשת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מעיקרא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חזר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התקדשי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מיהבא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מקודשת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הרשב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 (</w:t>
      </w:r>
      <w:r w:rsidDel="00000000" w:rsidR="00000000" w:rsidRPr="00000000">
        <w:rPr>
          <w:b w:val="1"/>
          <w:rtl w:val="1"/>
        </w:rPr>
        <w:t xml:space="preserve">ט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תגא</w:t>
      </w:r>
      <w:r w:rsidDel="00000000" w:rsidR="00000000" w:rsidRPr="00000000">
        <w:rPr>
          <w:b w:val="1"/>
          <w:rtl w:val="1"/>
        </w:rPr>
        <w:t xml:space="preserve">) </w:t>
      </w:r>
      <w:r w:rsidDel="00000000" w:rsidR="00000000" w:rsidRPr="00000000">
        <w:rPr>
          <w:b w:val="1"/>
          <w:rtl w:val="1"/>
        </w:rPr>
        <w:t xml:space="preserve">סובר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איהי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מעיקרא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יהיבנא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מיקדשת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ואיהי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אהדרה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מיקדשנא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מיהבא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אפילו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מהני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מידי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טעמא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דבלשון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דאירציא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לאהדורי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מיקדשנא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מהדרא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מיהבא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הכי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קאמרה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בקידושי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ניחא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במתנה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ולפיכך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חזר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התקדשי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מקודשת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ולי</w:t>
      </w:r>
      <w:r w:rsidDel="00000000" w:rsidR="00000000" w:rsidRPr="00000000">
        <w:rPr>
          <w:rtl w:val="1"/>
        </w:rPr>
        <w:t xml:space="preserve"> [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]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בלשונות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האמורים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לספוקי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קידושין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3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bidi w:val="1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