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57.6368286445013"/>
        <w:gridCol w:w="651.1304347826086"/>
        <w:gridCol w:w="1771.457800511509"/>
        <w:gridCol w:w="1383.6521739130435"/>
        <w:gridCol w:w="3696.1227621483376"/>
        <w:tblGridChange w:id="0">
          <w:tblGrid>
            <w:gridCol w:w="1857.6368286445013"/>
            <w:gridCol w:w="651.1304347826086"/>
            <w:gridCol w:w="1771.457800511509"/>
            <w:gridCol w:w="1383.6521739130435"/>
            <w:gridCol w:w="3696.1227621483376"/>
          </w:tblGrid>
        </w:tblGridChange>
      </w:tblGrid>
      <w:tr>
        <w:trPr>
          <w:trHeight w:val="6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הדין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האזורי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אשקלון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בפני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כבוד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הדיינים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301.09090909090907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הרב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ישי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בוכריס</w:t>
            </w:r>
          </w:p>
          <w:p w:rsidR="00000000" w:rsidDel="00000000" w:rsidP="00000000" w:rsidRDefault="00000000" w:rsidRPr="00000000" w14:paraId="0000000D">
            <w:pPr>
              <w:bidi w:val="1"/>
              <w:spacing w:line="301.09090909090907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הרב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שמעון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לביא</w:t>
            </w:r>
          </w:p>
          <w:p w:rsidR="00000000" w:rsidDel="00000000" w:rsidP="00000000" w:rsidRDefault="00000000" w:rsidRPr="00000000" w14:paraId="0000000E">
            <w:pPr>
              <w:bidi w:val="1"/>
              <w:spacing w:line="301.09090909090907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הרב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דניאל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ץ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301.09090909090907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דיין</w:t>
            </w:r>
          </w:p>
          <w:p w:rsidR="00000000" w:rsidDel="00000000" w:rsidP="00000000" w:rsidRDefault="00000000" w:rsidRPr="00000000" w14:paraId="00000010">
            <w:pPr>
              <w:bidi w:val="1"/>
              <w:spacing w:line="301.09090909090907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דיין</w:t>
            </w:r>
          </w:p>
          <w:p w:rsidR="00000000" w:rsidDel="00000000" w:rsidP="00000000" w:rsidRDefault="00000000" w:rsidRPr="00000000" w14:paraId="00000011">
            <w:pPr>
              <w:bidi w:val="1"/>
              <w:spacing w:line="301.09090909090907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דיין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תיק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rtl w:val="0"/>
              </w:rPr>
              <w:t xml:space="preserve">1074259/1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תאריך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בכסלו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התשע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</w:p>
          <w:p w:rsidR="00000000" w:rsidDel="00000000" w:rsidP="00000000" w:rsidRDefault="00000000" w:rsidRPr="00000000" w14:paraId="0000001A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rtl w:val="0"/>
              </w:rPr>
              <w:t xml:space="preserve">14/12/2016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מבקשים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rtl w:val="1"/>
              </w:rPr>
              <w:t xml:space="preserve">פלוני</w:t>
            </w:r>
          </w:p>
          <w:p w:rsidR="00000000" w:rsidDel="00000000" w:rsidP="00000000" w:rsidRDefault="00000000" w:rsidRPr="00000000" w14:paraId="00000020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rtl w:val="1"/>
              </w:rPr>
              <w:t xml:space="preserve">פלונית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משיב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הנדון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rtl w:val="1"/>
              </w:rPr>
              <w:t xml:space="preserve">היתר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נישואין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שניתנה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טבעת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בטקס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נישואין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נושא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הדיון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rtl w:val="1"/>
              </w:rPr>
              <w:t xml:space="preserve">היתר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נישואין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שניתנה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טבעת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בטקס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נישואין</w:t>
            </w:r>
          </w:p>
        </w:tc>
      </w:tr>
    </w:tbl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413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bidi w:val="1"/>
        <w:jc w:val="center"/>
        <w:rPr>
          <w:b w:val="1"/>
          <w:color w:val="ff6600"/>
          <w:sz w:val="30"/>
          <w:szCs w:val="30"/>
        </w:rPr>
      </w:pPr>
      <w:r w:rsidDel="00000000" w:rsidR="00000000" w:rsidRPr="00000000">
        <w:rPr>
          <w:b w:val="1"/>
          <w:color w:val="ff6600"/>
          <w:sz w:val="30"/>
          <w:szCs w:val="30"/>
          <w:rtl w:val="1"/>
        </w:rPr>
        <w:t xml:space="preserve">פסק</w:t>
      </w:r>
      <w:r w:rsidDel="00000000" w:rsidR="00000000" w:rsidRPr="00000000">
        <w:rPr>
          <w:b w:val="1"/>
          <w:color w:val="ff66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6600"/>
          <w:sz w:val="30"/>
          <w:szCs w:val="30"/>
          <w:rtl w:val="1"/>
        </w:rPr>
        <w:t xml:space="preserve">דין</w:t>
      </w:r>
    </w:p>
    <w:p w:rsidR="00000000" w:rsidDel="00000000" w:rsidP="00000000" w:rsidRDefault="00000000" w:rsidRPr="00000000" w14:paraId="00000032">
      <w:pPr>
        <w:shd w:fill="ffffff" w:val="clear"/>
        <w:bidi w:val="1"/>
        <w:jc w:val="center"/>
        <w:rPr>
          <w:b w:val="1"/>
          <w:color w:val="ff6600"/>
          <w:sz w:val="30"/>
          <w:szCs w:val="30"/>
        </w:rPr>
      </w:pPr>
      <w:r w:rsidDel="00000000" w:rsidR="00000000" w:rsidRPr="00000000">
        <w:rPr>
          <w:b w:val="1"/>
          <w:color w:val="ff6600"/>
          <w:sz w:val="30"/>
          <w:szCs w:val="30"/>
        </w:rPr>
        <w:drawing>
          <wp:inline distB="114300" distT="114300" distL="114300" distR="114300">
            <wp:extent cx="3810000" cy="666750"/>
            <wp:effectExtent b="0" l="0" r="0" t="0"/>
            <wp:docPr id="2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רקע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ועובדות</w:t>
      </w:r>
    </w:p>
    <w:p w:rsidR="00000000" w:rsidDel="00000000" w:rsidP="00000000" w:rsidRDefault="00000000" w:rsidRPr="00000000" w14:paraId="00000034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": </w:t>
      </w:r>
      <w:r w:rsidDel="00000000" w:rsidR="00000000" w:rsidRPr="00000000">
        <w:rPr>
          <w:rtl w:val="1"/>
        </w:rPr>
        <w:t xml:space="preserve">הבחורה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והופתעה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התנשאי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?" </w:t>
      </w:r>
      <w:r w:rsidDel="00000000" w:rsidR="00000000" w:rsidRPr="00000000">
        <w:rPr>
          <w:rtl w:val="1"/>
        </w:rPr>
        <w:t xml:space="preserve">הבחור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המבקשת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דיון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והכרעה</w:t>
      </w:r>
    </w:p>
    <w:p w:rsidR="00000000" w:rsidDel="00000000" w:rsidP="00000000" w:rsidRDefault="00000000" w:rsidRPr="00000000" w14:paraId="0000003D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התכתובת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התנשאי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מוכיחה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בבחינת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התריע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סידור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גט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–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פתרון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רצוי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42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נציין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קעח</w:t>
      </w:r>
      <w:r w:rsidDel="00000000" w:rsidR="00000000" w:rsidRPr="00000000">
        <w:rPr>
          <w:rtl w:val="1"/>
        </w:rPr>
        <w:t xml:space="preserve">): "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שאלתיו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ולבייש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גרושה</w:t>
      </w:r>
      <w:r w:rsidDel="00000000" w:rsidR="00000000" w:rsidRPr="00000000">
        <w:rPr>
          <w:rtl w:val="1"/>
        </w:rPr>
        <w:t xml:space="preserve">'?"</w:t>
      </w:r>
    </w:p>
    <w:p w:rsidR="00000000" w:rsidDel="00000000" w:rsidP="00000000" w:rsidRDefault="00000000" w:rsidRPr="00000000" w14:paraId="00000043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174) </w:t>
      </w:r>
      <w:r w:rsidDel="00000000" w:rsidR="00000000" w:rsidRPr="00000000">
        <w:rPr>
          <w:rtl w:val="1"/>
        </w:rPr>
        <w:t xml:space="preserve">בהרכב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אלישיב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גולדשמידט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5">
      <w:pPr>
        <w:shd w:fill="ffffff" w:val="clear"/>
        <w:bidi w:val="1"/>
        <w:ind w:left="600" w:right="600" w:firstLine="0"/>
        <w:jc w:val="both"/>
        <w:rPr>
          <w:color w:val="0077f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עי</w:t>
      </w:r>
      <w:r w:rsidDel="00000000" w:rsidR="00000000" w:rsidRPr="00000000">
        <w:rPr>
          <w:color w:val="0077ff"/>
          <w:rtl w:val="1"/>
        </w:rPr>
        <w:t xml:space="preserve">' </w:t>
      </w:r>
      <w:r w:rsidDel="00000000" w:rsidR="00000000" w:rsidRPr="00000000">
        <w:rPr>
          <w:color w:val="0077ff"/>
          <w:rtl w:val="1"/>
        </w:rPr>
        <w:t xml:space="preserve">בית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יוסף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אה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ע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סי</w:t>
      </w:r>
      <w:r w:rsidDel="00000000" w:rsidR="00000000" w:rsidRPr="00000000">
        <w:rPr>
          <w:color w:val="0077ff"/>
          <w:rtl w:val="1"/>
        </w:rPr>
        <w:t xml:space="preserve">' </w:t>
      </w:r>
      <w:r w:rsidDel="00000000" w:rsidR="00000000" w:rsidRPr="00000000">
        <w:rPr>
          <w:color w:val="0077ff"/>
          <w:rtl w:val="1"/>
        </w:rPr>
        <w:t xml:space="preserve">מ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ב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שהביא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מתשובת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מוהר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טוב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להחמיר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פן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יתן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המקדש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כתף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סוררת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כדי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לעגנה</w:t>
      </w:r>
      <w:r w:rsidDel="00000000" w:rsidR="00000000" w:rsidRPr="00000000">
        <w:rPr>
          <w:color w:val="0077ff"/>
          <w:rtl w:val="1"/>
        </w:rPr>
        <w:t xml:space="preserve">... </w:t>
      </w:r>
      <w:r w:rsidDel="00000000" w:rsidR="00000000" w:rsidRPr="00000000">
        <w:rPr>
          <w:color w:val="0077ff"/>
          <w:rtl w:val="1"/>
        </w:rPr>
        <w:t xml:space="preserve">ונמצאת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זו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העלובה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ימיה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עגונה</w:t>
      </w:r>
      <w:r w:rsidDel="00000000" w:rsidR="00000000" w:rsidRPr="00000000">
        <w:rPr>
          <w:color w:val="0077ff"/>
          <w:rtl w:val="1"/>
        </w:rPr>
        <w:t xml:space="preserve">. </w:t>
      </w:r>
      <w:r w:rsidDel="00000000" w:rsidR="00000000" w:rsidRPr="00000000">
        <w:rPr>
          <w:color w:val="0077ff"/>
          <w:rtl w:val="1"/>
        </w:rPr>
        <w:t xml:space="preserve">ועיין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משאת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בנימין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סי</w:t>
      </w:r>
      <w:r w:rsidDel="00000000" w:rsidR="00000000" w:rsidRPr="00000000">
        <w:rPr>
          <w:color w:val="0077ff"/>
          <w:rtl w:val="1"/>
        </w:rPr>
        <w:t xml:space="preserve">' </w:t>
      </w:r>
      <w:r w:rsidDel="00000000" w:rsidR="00000000" w:rsidRPr="00000000">
        <w:rPr>
          <w:color w:val="0077ff"/>
          <w:rtl w:val="1"/>
        </w:rPr>
        <w:t xml:space="preserve">ק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ו</w:t>
      </w:r>
      <w:r w:rsidDel="00000000" w:rsidR="00000000" w:rsidRPr="00000000">
        <w:rPr>
          <w:color w:val="0077ff"/>
          <w:rtl w:val="1"/>
        </w:rPr>
        <w:t xml:space="preserve"> (</w:t>
      </w:r>
      <w:r w:rsidDel="00000000" w:rsidR="00000000" w:rsidRPr="00000000">
        <w:rPr>
          <w:color w:val="0077ff"/>
          <w:rtl w:val="1"/>
        </w:rPr>
        <w:t xml:space="preserve">הו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ד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בכנה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ג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בהגה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ט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סי</w:t>
      </w:r>
      <w:r w:rsidDel="00000000" w:rsidR="00000000" w:rsidRPr="00000000">
        <w:rPr>
          <w:color w:val="0077ff"/>
          <w:rtl w:val="1"/>
        </w:rPr>
        <w:t xml:space="preserve">' </w:t>
      </w:r>
      <w:r w:rsidDel="00000000" w:rsidR="00000000" w:rsidRPr="00000000">
        <w:rPr>
          <w:color w:val="0077ff"/>
          <w:rtl w:val="1"/>
        </w:rPr>
        <w:t xml:space="preserve">כ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ז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אות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ג</w:t>
      </w:r>
      <w:r w:rsidDel="00000000" w:rsidR="00000000" w:rsidRPr="00000000">
        <w:rPr>
          <w:color w:val="0077ff"/>
          <w:rtl w:val="1"/>
        </w:rPr>
        <w:t xml:space="preserve">): </w:t>
      </w:r>
      <w:r w:rsidDel="00000000" w:rsidR="00000000" w:rsidRPr="00000000">
        <w:rPr>
          <w:color w:val="0077ff"/>
          <w:rtl w:val="1"/>
        </w:rPr>
        <w:t xml:space="preserve">כל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מקום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שאינה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צריכה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גט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נותנין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גט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לרווחא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דמילתא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שלא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לפוסלה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הכהונה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ומשום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פריצי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הדור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יתנו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עיניהם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בבנות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ישראל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לעגנם</w:t>
      </w:r>
      <w:r w:rsidDel="00000000" w:rsidR="00000000" w:rsidRPr="00000000">
        <w:rPr>
          <w:color w:val="0077ff"/>
          <w:rtl w:val="1"/>
        </w:rPr>
        <w:t xml:space="preserve"> (</w:t>
      </w:r>
      <w:r w:rsidDel="00000000" w:rsidR="00000000" w:rsidRPr="00000000">
        <w:rPr>
          <w:color w:val="0077ff"/>
          <w:rtl w:val="1"/>
        </w:rPr>
        <w:t xml:space="preserve">ועי</w:t>
      </w:r>
      <w:r w:rsidDel="00000000" w:rsidR="00000000" w:rsidRPr="00000000">
        <w:rPr>
          <w:color w:val="0077ff"/>
          <w:rtl w:val="1"/>
        </w:rPr>
        <w:t xml:space="preserve">' </w:t>
      </w:r>
      <w:r w:rsidDel="00000000" w:rsidR="00000000" w:rsidRPr="00000000">
        <w:rPr>
          <w:color w:val="0077ff"/>
          <w:rtl w:val="1"/>
        </w:rPr>
        <w:t xml:space="preserve">שו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רב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פעלים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ח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ריש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סימן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י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</w:t>
      </w:r>
      <w:r w:rsidDel="00000000" w:rsidR="00000000" w:rsidRPr="00000000">
        <w:rPr>
          <w:color w:val="0077ff"/>
          <w:rtl w:val="1"/>
        </w:rPr>
        <w:t xml:space="preserve">)."</w:t>
      </w:r>
    </w:p>
    <w:p w:rsidR="00000000" w:rsidDel="00000000" w:rsidP="00000000" w:rsidRDefault="00000000" w:rsidRPr="00000000" w14:paraId="00000046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אין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אומדנא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בקידושין</w:t>
      </w:r>
    </w:p>
    <w:p w:rsidR="00000000" w:rsidDel="00000000" w:rsidP="00000000" w:rsidRDefault="00000000" w:rsidRPr="00000000" w14:paraId="0000004B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4C">
      <w:pPr>
        <w:shd w:fill="ffffff" w:val="clear"/>
        <w:bidi w:val="1"/>
        <w:ind w:left="600" w:right="600" w:firstLine="0"/>
        <w:jc w:val="both"/>
        <w:rPr>
          <w:color w:val="0077f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אמרה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תחלה</w:t>
      </w:r>
      <w:r w:rsidDel="00000000" w:rsidR="00000000" w:rsidRPr="00000000">
        <w:rPr>
          <w:color w:val="0077ff"/>
          <w:rtl w:val="1"/>
        </w:rPr>
        <w:t xml:space="preserve">: </w:t>
      </w:r>
      <w:r w:rsidDel="00000000" w:rsidR="00000000" w:rsidRPr="00000000">
        <w:rPr>
          <w:color w:val="0077ff"/>
          <w:rtl w:val="1"/>
        </w:rPr>
        <w:t xml:space="preserve">קדשיני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וזרק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לתוך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חיקה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ואמר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</w:t>
      </w:r>
      <w:r w:rsidDel="00000000" w:rsidR="00000000" w:rsidRPr="00000000">
        <w:rPr>
          <w:color w:val="0077ff"/>
          <w:rtl w:val="1"/>
        </w:rPr>
        <w:t xml:space="preserve">: </w:t>
      </w:r>
      <w:r w:rsidDel="00000000" w:rsidR="00000000" w:rsidRPr="00000000">
        <w:rPr>
          <w:color w:val="0077ff"/>
          <w:rtl w:val="1"/>
        </w:rPr>
        <w:t xml:space="preserve">הרי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מקודשת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לי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וניערה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בגדיה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תוך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כדי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דיבור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להשליך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ממנה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הקדושין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ואומרת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כיוונה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מתחלה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רק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לשחוק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בעלמא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אפילו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הכי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הוי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מקודשת</w:t>
      </w:r>
      <w:r w:rsidDel="00000000" w:rsidR="00000000" w:rsidRPr="00000000">
        <w:rPr>
          <w:color w:val="0077ff"/>
          <w:rtl w:val="1"/>
        </w:rPr>
        <w:t xml:space="preserve"> (</w:t>
      </w:r>
      <w:r w:rsidDel="00000000" w:rsidR="00000000" w:rsidRPr="00000000">
        <w:rPr>
          <w:color w:val="0077ff"/>
          <w:rtl w:val="1"/>
        </w:rPr>
        <w:t xml:space="preserve">תשובת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מוהר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סוף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ספר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נשים</w:t>
      </w:r>
      <w:r w:rsidDel="00000000" w:rsidR="00000000" w:rsidRPr="00000000">
        <w:rPr>
          <w:color w:val="0077ff"/>
          <w:rtl w:val="1"/>
        </w:rPr>
        <w:t xml:space="preserve">). </w:t>
      </w:r>
      <w:r w:rsidDel="00000000" w:rsidR="00000000" w:rsidRPr="00000000">
        <w:rPr>
          <w:b w:val="1"/>
          <w:color w:val="0077ff"/>
          <w:rtl w:val="1"/>
        </w:rPr>
        <w:t xml:space="preserve">ואין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הולכים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בענין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קידושין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אחר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אומדנות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והוכחות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המוכיחות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שלא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כיוונה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לשם</w:t>
      </w:r>
      <w:r w:rsidDel="00000000" w:rsidR="00000000" w:rsidRPr="00000000">
        <w:rPr>
          <w:b w:val="1"/>
          <w:color w:val="0077ff"/>
          <w:rtl w:val="1"/>
        </w:rPr>
        <w:t xml:space="preserve"> </w:t>
      </w:r>
      <w:r w:rsidDel="00000000" w:rsidR="00000000" w:rsidRPr="00000000">
        <w:rPr>
          <w:b w:val="1"/>
          <w:color w:val="0077ff"/>
          <w:rtl w:val="1"/>
        </w:rPr>
        <w:t xml:space="preserve">קדושין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77ff"/>
          <w:rtl w:val="1"/>
        </w:rPr>
        <w:t xml:space="preserve"> (</w:t>
      </w:r>
      <w:r w:rsidDel="00000000" w:rsidR="00000000" w:rsidRPr="00000000">
        <w:rPr>
          <w:color w:val="0077ff"/>
          <w:rtl w:val="1"/>
        </w:rPr>
        <w:t xml:space="preserve">שם</w:t>
      </w:r>
      <w:r w:rsidDel="00000000" w:rsidR="00000000" w:rsidRPr="00000000">
        <w:rPr>
          <w:color w:val="0077ff"/>
          <w:rtl w:val="1"/>
        </w:rPr>
        <w:t xml:space="preserve">)."</w:t>
      </w:r>
    </w:p>
    <w:p w:rsidR="00000000" w:rsidDel="00000000" w:rsidP="00000000" w:rsidRDefault="00000000" w:rsidRPr="00000000" w14:paraId="0000004D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בתשובותיו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המהרשד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אשכנזי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נזכיר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הפיקטיביים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עוזיאל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50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אומדנא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דמוכח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בקידושין</w:t>
      </w:r>
    </w:p>
    <w:p w:rsidR="00000000" w:rsidDel="00000000" w:rsidP="00000000" w:rsidRDefault="00000000" w:rsidRPr="00000000" w14:paraId="00000054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ובעקבותיו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מובהקות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57">
      <w:pPr>
        <w:shd w:fill="ffffff" w:val="clear"/>
        <w:bidi w:val="1"/>
        <w:ind w:left="600" w:right="600" w:firstLine="0"/>
        <w:jc w:val="both"/>
        <w:rPr>
          <w:color w:val="0077f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גבי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קידושין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משום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חומרא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דאשת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נסמוך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אומדן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דעתא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לומר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היה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בלבה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כך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ודאי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וליכא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אומדן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דעתא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דמוכח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כיון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דאיכא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נמי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למימר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איתתא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בכל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דהו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ניחא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</w:t>
      </w:r>
      <w:r w:rsidDel="00000000" w:rsidR="00000000" w:rsidRPr="00000000">
        <w:rPr>
          <w:color w:val="0077ff"/>
          <w:rtl w:val="1"/>
        </w:rPr>
        <w:t xml:space="preserve">."</w:t>
      </w:r>
    </w:p>
    <w:p w:rsidR="00000000" w:rsidDel="00000000" w:rsidP="00000000" w:rsidRDefault="00000000" w:rsidRPr="00000000" w14:paraId="00000058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ומאידך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שאישה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כפילות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9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B">
      <w:pPr>
        <w:shd w:fill="ffffff" w:val="clear"/>
        <w:bidi w:val="1"/>
        <w:ind w:left="600" w:right="600" w:firstLine="0"/>
        <w:jc w:val="both"/>
        <w:rPr>
          <w:color w:val="0077f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ובקדושין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אפילו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באומדנא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וודאית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ואנן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סהדי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כיונה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לשחוק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בעלמא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מ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הולכין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אחר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האומדנא</w:t>
      </w:r>
      <w:r w:rsidDel="00000000" w:rsidR="00000000" w:rsidRPr="00000000">
        <w:rPr>
          <w:color w:val="0077ff"/>
          <w:rtl w:val="1"/>
        </w:rPr>
        <w:t xml:space="preserve">... </w:t>
      </w:r>
      <w:r w:rsidDel="00000000" w:rsidR="00000000" w:rsidRPr="00000000">
        <w:rPr>
          <w:color w:val="0077ff"/>
          <w:rtl w:val="1"/>
        </w:rPr>
        <w:t xml:space="preserve">לפי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שגיטין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וקדושין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אינן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דומים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לדיני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ממונות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שהדברים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מתקיימים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בינם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לבין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עצמם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איברי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סהדי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לשיקרי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אבל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גיטין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וקדושין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אף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שהמעשה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נעשה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כהוגן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אך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בלתי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עדים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שום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ממשות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בהמעשה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וכיון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שהדבר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תלוי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רק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בעדים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לראות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רק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המעשה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כאשר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הוא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לתור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אחרי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מחשבות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שבלב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אפילו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באומדנא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דמוכח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דאם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נלך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אחר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האומדנא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הרי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נלך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אחר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עצמם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אחרי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ראיית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העדים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וא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להיות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בגיטין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וקדושין</w:t>
      </w:r>
      <w:r w:rsidDel="00000000" w:rsidR="00000000" w:rsidRPr="00000000">
        <w:rPr>
          <w:color w:val="0077ff"/>
          <w:rtl w:val="1"/>
        </w:rPr>
        <w:t xml:space="preserve">."</w:t>
      </w:r>
    </w:p>
    <w:p w:rsidR="00000000" w:rsidDel="00000000" w:rsidP="00000000" w:rsidRDefault="00000000" w:rsidRPr="00000000" w14:paraId="0000005C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5F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סותרת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ואיטלולא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שמצטרפת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האומדנא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נציין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9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מאידך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מיליקובסקי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מיליקובסקי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D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משאש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דאיתתא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[=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מכריעה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F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הריעותא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ואיטלולא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71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73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הגרד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(857493-9 </w:t>
      </w:r>
      <w:r w:rsidDel="00000000" w:rsidR="00000000" w:rsidRPr="00000000">
        <w:rPr>
          <w:rtl w:val="1"/>
        </w:rPr>
        <w:t xml:space="preserve">משער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75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האומדנות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77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9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857493-9.</w:t>
      </w:r>
    </w:p>
    <w:p w:rsidR="00000000" w:rsidDel="00000000" w:rsidP="00000000" w:rsidRDefault="00000000" w:rsidRPr="00000000" w14:paraId="0000007B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ונבארן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D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קידושין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נעשין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רק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בחופה</w:t>
      </w:r>
    </w:p>
    <w:p w:rsidR="00000000" w:rsidDel="00000000" w:rsidP="00000000" w:rsidRDefault="00000000" w:rsidRPr="00000000" w14:paraId="0000007F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פרובינציה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80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מקורביל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מובנת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לאומדנא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2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מלובלין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ובדיחותא</w:t>
      </w:r>
      <w:r w:rsidDel="00000000" w:rsidR="00000000" w:rsidRPr="00000000">
        <w:rPr>
          <w:rtl w:val="1"/>
        </w:rPr>
        <w:t xml:space="preserve">."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4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אשדוד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אשקלון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ילוז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316,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327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והצטרפו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ולטי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גולדשמידט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רפפורט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מלואי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הליכות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6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תקנת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רבני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ישראל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שלא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לקדש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אלא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בחופה</w:t>
      </w:r>
    </w:p>
    <w:p w:rsidR="00000000" w:rsidDel="00000000" w:rsidP="00000000" w:rsidRDefault="00000000" w:rsidRPr="00000000" w14:paraId="00000088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פרובינציא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ובעקבותיה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9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ואכן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ותיקנו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ובנשיאות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והגרבצמ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במשרדי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8B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וכעוון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מובהק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D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F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טבעת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יהלום</w:t>
      </w:r>
    </w:p>
    <w:p w:rsidR="00000000" w:rsidDel="00000000" w:rsidP="00000000" w:rsidRDefault="00000000" w:rsidRPr="00000000" w14:paraId="00000091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כחיזוק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שצירף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92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אומדנא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בזמן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הקידושין</w:t>
      </w:r>
    </w:p>
    <w:p w:rsidR="00000000" w:rsidDel="00000000" w:rsidP="00000000" w:rsidRDefault="00000000" w:rsidRPr="00000000" w14:paraId="00000094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לנוכחים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5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מעשה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שאינו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ברור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לעדים</w:t>
      </w:r>
    </w:p>
    <w:p w:rsidR="00000000" w:rsidDel="00000000" w:rsidP="00000000" w:rsidRDefault="00000000" w:rsidRPr="00000000" w14:paraId="00000097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כקידושין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8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אומדנא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שאין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בה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ספק</w:t>
      </w:r>
    </w:p>
    <w:p w:rsidR="00000000" w:rsidDel="00000000" w:rsidP="00000000" w:rsidRDefault="00000000" w:rsidRPr="00000000" w14:paraId="0000009A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שצירף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B">
      <w:pPr>
        <w:shd w:fill="ffffff" w:val="clear"/>
        <w:bidi w:val="1"/>
        <w:ind w:left="600" w:right="600" w:firstLine="0"/>
        <w:jc w:val="both"/>
        <w:rPr>
          <w:color w:val="0077f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אך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נראה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עיקר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בשאלה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זו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דעד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כתבו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הפוסקים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להחמיר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בקידושי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שחוק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ולהימנע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מביטול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קידושין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אודמנות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והוכחות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אלא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במקום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צד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כלשהו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קידושין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ואנו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באים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לבטל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הקידושין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אומדנא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אבל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כאשר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ברור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הדבר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כביעתא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בכותחא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וכשמש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בצהרים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שום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צד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הו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שכיוונו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לשם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קידושין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ואיש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אחד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מאלף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כאשר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היה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רואה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השתלשלות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העניין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היה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מסתפק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כלל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התכוונו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לקידושין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ולפי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רוח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המקום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והזמן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ודרכי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בני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אדם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ונימוסיהם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שום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צד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ושיקול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דעת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קידושין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הנידון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אומדנא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מבטל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קידושין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אפילו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אומדנא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לקיים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הקידושין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ובכהאי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גוונא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קידושין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כלל</w:t>
      </w:r>
      <w:r w:rsidDel="00000000" w:rsidR="00000000" w:rsidRPr="00000000">
        <w:rPr>
          <w:color w:val="0077ff"/>
          <w:rtl w:val="1"/>
        </w:rPr>
        <w:t xml:space="preserve">."</w:t>
      </w:r>
    </w:p>
    <w:p w:rsidR="00000000" w:rsidDel="00000000" w:rsidP="00000000" w:rsidRDefault="00000000" w:rsidRPr="00000000" w14:paraId="0000009C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ובסימן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D">
      <w:pPr>
        <w:shd w:fill="ffffff" w:val="clear"/>
        <w:bidi w:val="1"/>
        <w:ind w:left="600" w:right="600" w:firstLine="0"/>
        <w:jc w:val="both"/>
        <w:rPr>
          <w:color w:val="0077f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הנה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באמת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סברא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זו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פשוטה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בעיני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דכל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מושג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האומדנא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עיקרו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ומהותו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באומדן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הדעת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בדבר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לדון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ולפרשו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לשני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צדדים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ואומדן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הדעת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נוטה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לפירוש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מסויים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משא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כ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בדבר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ספק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כלל</w:t>
      </w:r>
      <w:r w:rsidDel="00000000" w:rsidR="00000000" w:rsidRPr="00000000">
        <w:rPr>
          <w:color w:val="0077ff"/>
          <w:rtl w:val="1"/>
        </w:rPr>
        <w:t xml:space="preserve">. </w:t>
      </w:r>
      <w:r w:rsidDel="00000000" w:rsidR="00000000" w:rsidRPr="00000000">
        <w:rPr>
          <w:color w:val="0077ff"/>
          <w:rtl w:val="1"/>
        </w:rPr>
        <w:t xml:space="preserve">הגע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בעצמך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בחור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ונערה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המשתתפים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בהצגה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שבו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הוא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מקדש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אותה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וכי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גם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בכה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ג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נדון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שמא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קידושין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כאן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כאשר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ברור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וידוע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כאן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משחק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והצגה</w:t>
      </w:r>
      <w:r w:rsidDel="00000000" w:rsidR="00000000" w:rsidRPr="00000000">
        <w:rPr>
          <w:color w:val="0077ff"/>
          <w:rtl w:val="1"/>
        </w:rPr>
        <w:t xml:space="preserve">. </w:t>
      </w:r>
      <w:r w:rsidDel="00000000" w:rsidR="00000000" w:rsidRPr="00000000">
        <w:rPr>
          <w:color w:val="0077ff"/>
          <w:rtl w:val="1"/>
        </w:rPr>
        <w:t xml:space="preserve">לענ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ד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נראה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דכל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כה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ג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כלל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צד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להחמיר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זה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אומדנא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ידיעה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ברורה</w:t>
      </w:r>
      <w:r w:rsidDel="00000000" w:rsidR="00000000" w:rsidRPr="00000000">
        <w:rPr>
          <w:color w:val="0077ff"/>
          <w:rtl w:val="1"/>
        </w:rPr>
        <w:t xml:space="preserve">."</w:t>
      </w:r>
    </w:p>
    <w:p w:rsidR="00000000" w:rsidDel="00000000" w:rsidP="00000000" w:rsidRDefault="00000000" w:rsidRPr="00000000" w14:paraId="0000009E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וממשיך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F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בפוסקים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1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בהצגה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והצטרפו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והוכרז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קאמעדיע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הוכרז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3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הוכיח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סופו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על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תחילתו</w:t>
      </w:r>
    </w:p>
    <w:p w:rsidR="00000000" w:rsidDel="00000000" w:rsidP="00000000" w:rsidRDefault="00000000" w:rsidRPr="00000000" w14:paraId="000000A5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6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הראי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פיקטיביים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תחילתו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A8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נאמנות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האישה</w:t>
      </w:r>
    </w:p>
    <w:p w:rsidR="00000000" w:rsidDel="00000000" w:rsidP="00000000" w:rsidRDefault="00000000" w:rsidRPr="00000000" w14:paraId="000000AA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מהפוסקים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שהעמידו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קדשני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וסבורים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קדשני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B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טוענת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התכוונתי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שבלב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לנאמנותה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D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ואחרונים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258).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כחומרא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F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הצורך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באומדנא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בכדי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ליצור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קידושין</w:t>
      </w:r>
    </w:p>
    <w:p w:rsidR="00000000" w:rsidDel="00000000" w:rsidP="00000000" w:rsidRDefault="00000000" w:rsidRPr="00000000" w14:paraId="000000B1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):</w:t>
      </w:r>
    </w:p>
    <w:p w:rsidR="00000000" w:rsidDel="00000000" w:rsidP="00000000" w:rsidRDefault="00000000" w:rsidRPr="00000000" w14:paraId="000000B2">
      <w:pPr>
        <w:shd w:fill="ffffff" w:val="clear"/>
        <w:bidi w:val="1"/>
        <w:ind w:left="600" w:right="600" w:firstLine="0"/>
        <w:jc w:val="both"/>
        <w:rPr>
          <w:color w:val="0077f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היה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מדבר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עמה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תחלה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עסקי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קדושין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ונתן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לה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אפילו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בשתיקה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הוי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קדושין</w:t>
      </w:r>
      <w:r w:rsidDel="00000000" w:rsidR="00000000" w:rsidRPr="00000000">
        <w:rPr>
          <w:color w:val="0077ff"/>
          <w:rtl w:val="1"/>
        </w:rPr>
        <w:t xml:space="preserve">. </w:t>
      </w:r>
      <w:r w:rsidDel="00000000" w:rsidR="00000000" w:rsidRPr="00000000">
        <w:rPr>
          <w:color w:val="0077ff"/>
          <w:rtl w:val="1"/>
        </w:rPr>
        <w:t xml:space="preserve">והוא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שעדיין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עסוקין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באותו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ענין</w:t>
      </w:r>
      <w:r w:rsidDel="00000000" w:rsidR="00000000" w:rsidRPr="00000000">
        <w:rPr>
          <w:color w:val="0077ff"/>
          <w:rtl w:val="1"/>
        </w:rPr>
        <w:t xml:space="preserve">... </w:t>
      </w:r>
      <w:r w:rsidDel="00000000" w:rsidR="00000000" w:rsidRPr="00000000">
        <w:rPr>
          <w:color w:val="0077ff"/>
          <w:rtl w:val="1"/>
        </w:rPr>
        <w:t xml:space="preserve">הגה</w:t>
      </w:r>
      <w:r w:rsidDel="00000000" w:rsidR="00000000" w:rsidRPr="00000000">
        <w:rPr>
          <w:color w:val="0077ff"/>
          <w:rtl w:val="1"/>
        </w:rPr>
        <w:t xml:space="preserve">: </w:t>
      </w:r>
      <w:r w:rsidDel="00000000" w:rsidR="00000000" w:rsidRPr="00000000">
        <w:rPr>
          <w:color w:val="0077ff"/>
          <w:rtl w:val="1"/>
        </w:rPr>
        <w:t xml:space="preserve">י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בעינן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מדברים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באותו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ענין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ממש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אלא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מדברים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מענין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לענין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באותו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ענין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דהיינו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שאין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מדברים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בקידושין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רק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בצרכי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זיווגם</w:t>
      </w:r>
      <w:r w:rsidDel="00000000" w:rsidR="00000000" w:rsidRPr="00000000">
        <w:rPr>
          <w:color w:val="0077ff"/>
          <w:rtl w:val="1"/>
        </w:rPr>
        <w:t xml:space="preserve"> (</w:t>
      </w:r>
      <w:r w:rsidDel="00000000" w:rsidR="00000000" w:rsidRPr="00000000">
        <w:rPr>
          <w:color w:val="0077ff"/>
          <w:rtl w:val="1"/>
        </w:rPr>
        <w:t xml:space="preserve">מרדכי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סוף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האיש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מקדש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וכ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כ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הרשב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</w:t>
      </w:r>
      <w:r w:rsidDel="00000000" w:rsidR="00000000" w:rsidRPr="00000000">
        <w:rPr>
          <w:color w:val="0077ff"/>
          <w:rtl w:val="1"/>
        </w:rPr>
        <w:t xml:space="preserve">). </w:t>
      </w:r>
      <w:r w:rsidDel="00000000" w:rsidR="00000000" w:rsidRPr="00000000">
        <w:rPr>
          <w:color w:val="0077ff"/>
          <w:rtl w:val="1"/>
        </w:rPr>
        <w:t xml:space="preserve">וי</w:t>
      </w:r>
      <w:r w:rsidDel="00000000" w:rsidR="00000000" w:rsidRPr="00000000">
        <w:rPr>
          <w:color w:val="0077ff"/>
          <w:rtl w:val="1"/>
        </w:rPr>
        <w:t xml:space="preserve">"</w:t>
      </w:r>
      <w:r w:rsidDel="00000000" w:rsidR="00000000" w:rsidRPr="00000000">
        <w:rPr>
          <w:color w:val="0077ff"/>
          <w:rtl w:val="1"/>
        </w:rPr>
        <w:t xml:space="preserve">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דלא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בעינן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מדברים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עמה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אלא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כל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שמדברים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לפניה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סגי</w:t>
      </w:r>
      <w:r w:rsidDel="00000000" w:rsidR="00000000" w:rsidRPr="00000000">
        <w:rPr>
          <w:color w:val="0077ff"/>
          <w:rtl w:val="1"/>
        </w:rPr>
        <w:t xml:space="preserve"> (</w:t>
      </w:r>
      <w:r w:rsidDel="00000000" w:rsidR="00000000" w:rsidRPr="00000000">
        <w:rPr>
          <w:color w:val="0077ff"/>
          <w:rtl w:val="1"/>
        </w:rPr>
        <w:t xml:space="preserve">מרדכי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ריש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קידושין</w:t>
      </w:r>
      <w:r w:rsidDel="00000000" w:rsidR="00000000" w:rsidRPr="00000000">
        <w:rPr>
          <w:color w:val="0077ff"/>
          <w:rtl w:val="1"/>
        </w:rPr>
        <w:t xml:space="preserve">, </w:t>
      </w:r>
      <w:r w:rsidDel="00000000" w:rsidR="00000000" w:rsidRPr="00000000">
        <w:rPr>
          <w:color w:val="0077ff"/>
          <w:rtl w:val="1"/>
        </w:rPr>
        <w:t xml:space="preserve">וכן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משמע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לשון</w:t>
      </w:r>
      <w:r w:rsidDel="00000000" w:rsidR="00000000" w:rsidRPr="00000000">
        <w:rPr>
          <w:color w:val="0077ff"/>
          <w:rtl w:val="1"/>
        </w:rPr>
        <w:t xml:space="preserve"> </w:t>
      </w:r>
      <w:r w:rsidDel="00000000" w:rsidR="00000000" w:rsidRPr="00000000">
        <w:rPr>
          <w:color w:val="0077ff"/>
          <w:rtl w:val="1"/>
        </w:rPr>
        <w:t xml:space="preserve">הטור</w:t>
      </w:r>
      <w:r w:rsidDel="00000000" w:rsidR="00000000" w:rsidRPr="00000000">
        <w:rPr>
          <w:color w:val="0077ff"/>
          <w:rtl w:val="1"/>
        </w:rPr>
        <w:t xml:space="preserve">)."</w:t>
      </w:r>
    </w:p>
    <w:p w:rsidR="00000000" w:rsidDel="00000000" w:rsidP="00000000" w:rsidRDefault="00000000" w:rsidRPr="00000000" w14:paraId="000000B3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ומהכרזה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לנישואין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חבצלת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4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bidi w:val="1"/>
        <w:jc w:val="both"/>
        <w:rPr>
          <w:b w:val="1"/>
          <w:color w:val="000099"/>
          <w:sz w:val="26"/>
          <w:szCs w:val="26"/>
        </w:rPr>
      </w:pPr>
      <w:r w:rsidDel="00000000" w:rsidR="00000000" w:rsidRPr="00000000">
        <w:rPr>
          <w:b w:val="1"/>
          <w:color w:val="000099"/>
          <w:sz w:val="26"/>
          <w:szCs w:val="26"/>
          <w:rtl w:val="1"/>
        </w:rPr>
        <w:t xml:space="preserve">מסקנות</w:t>
      </w:r>
    </w:p>
    <w:p w:rsidR="00000000" w:rsidDel="00000000" w:rsidP="00000000" w:rsidRDefault="00000000" w:rsidRPr="00000000" w14:paraId="000000B6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לנוכח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במהותה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7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9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B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D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bidi w:val="1"/>
        <w:jc w:val="both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(14/12/2016).</w:t>
      </w:r>
    </w:p>
    <w:p w:rsidR="00000000" w:rsidDel="00000000" w:rsidP="00000000" w:rsidRDefault="00000000" w:rsidRPr="00000000" w14:paraId="000000BF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bidi w:val="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5.236593059937"/>
        <w:gridCol w:w="3267.634069400631"/>
        <w:gridCol w:w="2987.129337539432"/>
        <w:tblGridChange w:id="0">
          <w:tblGrid>
            <w:gridCol w:w="3105.236593059937"/>
            <w:gridCol w:w="3267.634069400631"/>
            <w:gridCol w:w="2987.129337539432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הרב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ישי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בוכריס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הרב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שמעון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לביא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bidi w:val="1"/>
              <w:spacing w:line="301.09090909090907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הרב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דניאל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ץ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