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מנין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המצוות</w:t>
      </w:r>
      <w:r w:rsidDel="00000000" w:rsidR="00000000" w:rsidRPr="00000000">
        <w:rPr>
          <w:b w:val="1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קפג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ניתוספו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ובביאה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לעשייתן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שמזכירין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מזכירין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לעשייתן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בכאן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**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איילונית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אפקיה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וזבחת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דבקדשים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והבדילנו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והזכירו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הכלה</w:t>
      </w:r>
      <w:r w:rsidDel="00000000" w:rsidR="00000000" w:rsidRPr="00000000">
        <w:rPr>
          <w:rtl w:val="1"/>
        </w:rPr>
        <w:t xml:space="preserve">***.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הארוסות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השחוט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השחיטה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דליחזו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וטלולא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הרואה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ומנהגן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מפאריש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שסבורין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התכלת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רופפת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כותייהו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דזימנין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בשחרית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[*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הנשואין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  <w:br w:type="textWrapping"/>
        <w:t xml:space="preserve"> </w:t>
      </w:r>
      <w:r w:rsidDel="00000000" w:rsidR="00000000" w:rsidRPr="00000000">
        <w:rPr>
          <w:rtl w:val="1"/>
        </w:rPr>
        <w:t xml:space="preserve">שנצטוינו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הנישואין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']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בעזרת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rtl w:val="1"/>
        </w:rPr>
        <w:t xml:space="preserve">משרשי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זיווגם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….</w:t>
        <w:br w:type="textWrapping"/>
        <w:t xml:space="preserve">...</w:t>
      </w:r>
      <w:r w:rsidDel="00000000" w:rsidR="00000000" w:rsidRPr="00000000">
        <w:rPr>
          <w:rtl w:val="1"/>
        </w:rPr>
        <w:t xml:space="preserve">ועובר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שיקדשנה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rtl w:val="1"/>
        </w:rPr>
        <w:t xml:space="preserve">וחייבונו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והבדילנו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בארצנו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ומנהגנו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שיטת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הרמב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ם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ריג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הורה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בבעילה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מכתובות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ונדה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ובבאור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הקדמה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פרטן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לישא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בכתובה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וקידושין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וקידושין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ועונה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לפרות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נצטוו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+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וליקוחין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וליקוחין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מאורסת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הטעהו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אבינו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נפיק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  <w:br w:type="textWrapping"/>
        <w:t xml:space="preserve">(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לאאר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מבטיל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ומבטל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מהקישא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) </w:t>
        <w:br w:type="textWrapping"/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מגלחין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,,, 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שכך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דמדאוריתא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צניעות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צנועות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פריצות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פרוצות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שרינן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ואפקינה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ואפקיעינהו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שויו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שויוהו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לבעילתו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כשתיקן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ודחינן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לבעיל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ושלשתן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שבמנין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וליקוחין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,,, 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שעדיין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עשייתה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קיימת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עשייה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שנתעטף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שנתעטף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בציצית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נשים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מייבמין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הנשואין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גרושתו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ומארסין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במועד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החג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בנישואין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ומותר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לארשה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המיתה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שישמשנו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שישמשנו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b w:val="1"/>
          <w:rtl w:val="1"/>
        </w:rPr>
        <w:t xml:space="preserve">מותר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לארס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בתשעה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בלילה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בסעודתו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+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הנישואין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ברכת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האירוסין</w:t>
      </w:r>
      <w:r w:rsidDel="00000000" w:rsidR="00000000" w:rsidRPr="00000000">
        <w:rPr>
          <w:b w:val="1"/>
          <w:u w:val="single"/>
          <w:rtl w:val="1"/>
        </w:rPr>
        <w:t xml:space="preserve">- </w:t>
      </w:r>
      <w:r w:rsidDel="00000000" w:rsidR="00000000" w:rsidRPr="00000000">
        <w:rPr>
          <w:b w:val="1"/>
          <w:u w:val="single"/>
          <w:rtl w:val="1"/>
        </w:rPr>
        <w:t xml:space="preserve">נספח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מרוטנבורג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פראג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שנוהגין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{</w:t>
      </w:r>
      <w:r w:rsidDel="00000000" w:rsidR="00000000" w:rsidRPr="00000000">
        <w:rPr>
          <w:rtl w:val="1"/>
        </w:rPr>
        <w:t xml:space="preserve">המאירי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הקידודשין</w:t>
      </w:r>
      <w:r w:rsidDel="00000000" w:rsidR="00000000" w:rsidRPr="00000000">
        <w:rPr>
          <w:rtl w:val="1"/>
        </w:rPr>
        <w:t xml:space="preserve">}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נגמרה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כניסה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ובאותו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מיקרי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נדנוד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שאלת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וכראוי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היצטרך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ואמרת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במיורק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הניחך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שיקדשנה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יקדשנה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שיקדשנה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שנתקדשה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כראוי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כהוגן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b w:val="1"/>
          <w:u w:val="single"/>
          <w:rtl w:val="1"/>
        </w:rPr>
        <w:t xml:space="preserve">תשובה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שנתקדש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כהוגן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… </w:t>
      </w:r>
      <w:r w:rsidDel="00000000" w:rsidR="00000000" w:rsidRPr="00000000">
        <w:rPr>
          <w:rtl w:val="1"/>
        </w:rPr>
        <w:t xml:space="preserve">ולזה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ולקדש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דמילת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באסורין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תמהני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ולקדש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ועומדת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שיבוטא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מחריך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. </w:t>
        <w:br w:type="textWrapping"/>
        <w:t xml:space="preserve">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אבינו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1"/>
        </w:rPr>
        <w:t xml:space="preserve">ודלא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ומדרבנן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למנסב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לקדוש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ולברוכי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b w:val="1"/>
          <w:rtl w:val="1"/>
        </w:rPr>
        <w:t xml:space="preserve">מיהו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ובשטר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אקב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קידושי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בטרדא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דפסחים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bidi w:val="1"/>
        <w:ind w:left="1440" w:hanging="360"/>
      </w:pP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- "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" 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bidi w:val="1"/>
        <w:ind w:left="1440" w:hanging="360"/>
      </w:pP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- "</w:t>
      </w:r>
      <w:r w:rsidDel="00000000" w:rsidR="00000000" w:rsidRPr="00000000">
        <w:rPr>
          <w:rtl w:val="1"/>
        </w:rPr>
        <w:t xml:space="preserve">וצוונו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הארוסות</w:t>
      </w:r>
      <w:r w:rsidDel="00000000" w:rsidR="00000000" w:rsidRPr="00000000">
        <w:rPr>
          <w:rtl w:val="1"/>
        </w:rPr>
        <w:t xml:space="preserve">…." 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