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לאינתו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אהיה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דגירושין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משתק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​ </w:t>
      </w:r>
      <w:r w:rsidDel="00000000" w:rsidR="00000000" w:rsidRPr="00000000">
        <w:rPr>
          <w:rtl w:val="1"/>
        </w:rPr>
        <w:t xml:space="preserve">דמגרע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​ </w:t>
      </w:r>
      <w:r w:rsidDel="00000000" w:rsidR="00000000" w:rsidRPr="00000000">
        <w:rPr>
          <w:rtl w:val="1"/>
        </w:rPr>
        <w:t xml:space="preserve">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​ 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</w:t>
      </w:r>
      <w:r w:rsidDel="00000000" w:rsidR="00000000" w:rsidRPr="00000000">
        <w:rPr>
          <w:rtl w:val="1"/>
        </w:rPr>
        <w:t xml:space="preserve">' ​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בשתיקה</w:t>
      </w:r>
      <w:r w:rsidDel="00000000" w:rsidR="00000000" w:rsidRPr="00000000">
        <w:rPr>
          <w:rtl w:val="1"/>
        </w:rPr>
        <w:t xml:space="preserve">​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משתיקה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​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המקנה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דמספקא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לשונות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  <w:t xml:space="preserve">(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מוכיחות</w:t>
      </w:r>
      <w:r w:rsidDel="00000000" w:rsidR="00000000" w:rsidRPr="00000000">
        <w:rPr>
          <w:rtl w:val="1"/>
        </w:rPr>
        <w:t xml:space="preserve">-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תמצאם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/).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וליתנינהו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וגרסינהו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עזרתי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נגדתי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עצורתי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צלעתי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סגורתי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תחתי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תפושתי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לקוחתי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חרופתי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חרופתי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חרופתי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וקידושיה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דיהיב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ושתיק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עסקינן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דיהב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לישני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ליתנינהו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עזרתי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סגורתי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עצורתי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ויהודה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שביהודה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3F">
      <w:pPr>
        <w:bidi w:val="1"/>
        <w:rPr>
          <w:i w:val="1"/>
        </w:rPr>
      </w:pP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מיועדת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מיוחדת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עזרתי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נגדי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צלעתי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סגורתי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תחתי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עצורתי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תפוסתי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בספק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1"/>
        </w:rPr>
        <w:t xml:space="preserve">הגה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וה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הרי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חרופתי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אבל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הרי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נשואתי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י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שאינו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כלום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i w:val="1"/>
          <w:rtl w:val="1"/>
        </w:rPr>
        <w:t xml:space="preserve">הגה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מי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שנותן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בשביל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אהבה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וחבה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חוששין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לקדושין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כי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שנותן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שיהיה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אהבה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וחבה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ביניהם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והוי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כאלו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מיועדת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מיוחדת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תשובת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מיי</w:t>
      </w:r>
      <w:r w:rsidDel="00000000" w:rsidR="00000000" w:rsidRPr="00000000">
        <w:rPr>
          <w:i w:val="1"/>
          <w:rtl w:val="1"/>
        </w:rPr>
        <w:t xml:space="preserve">' </w:t>
      </w:r>
      <w:r w:rsidDel="00000000" w:rsidR="00000000" w:rsidRPr="00000000">
        <w:rPr>
          <w:i w:val="1"/>
          <w:rtl w:val="1"/>
        </w:rPr>
        <w:t xml:space="preserve">סוף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קידושין</w:t>
      </w:r>
      <w:r w:rsidDel="00000000" w:rsidR="00000000" w:rsidRPr="00000000">
        <w:rPr>
          <w:i w:val="1"/>
          <w:rtl w:val="1"/>
        </w:rPr>
        <w:t xml:space="preserve">). </w:t>
      </w:r>
      <w:r w:rsidDel="00000000" w:rsidR="00000000" w:rsidRPr="00000000">
        <w:rPr>
          <w:i w:val="1"/>
          <w:rtl w:val="1"/>
        </w:rPr>
        <w:t xml:space="preserve">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אומרים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דאע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ג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דלשונות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מעסקי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מ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אומרת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שקבלה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ספק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. (</w:t>
      </w:r>
      <w:r w:rsidDel="00000000" w:rsidR="00000000" w:rsidRPr="00000000">
        <w:rPr>
          <w:i w:val="1"/>
          <w:rtl w:val="1"/>
        </w:rPr>
        <w:t xml:space="preserve">הר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ן</w:t>
      </w:r>
      <w:r w:rsidDel="00000000" w:rsidR="00000000" w:rsidRPr="00000000">
        <w:rPr>
          <w:i w:val="1"/>
          <w:rtl w:val="1"/>
        </w:rPr>
        <w:t xml:space="preserve">). </w:t>
      </w:r>
      <w:r w:rsidDel="00000000" w:rsidR="00000000" w:rsidRPr="00000000">
        <w:rPr>
          <w:i w:val="1"/>
          <w:rtl w:val="1"/>
        </w:rPr>
        <w:t xml:space="preserve">ואפילו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בשתיקה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כלום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והיא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אומרים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שכוונו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במרדכי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האיש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מקדש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ותשובת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מוהר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ם</w:t>
      </w:r>
      <w:r w:rsidDel="00000000" w:rsidR="00000000" w:rsidRPr="00000000">
        <w:rPr>
          <w:i w:val="1"/>
          <w:rtl w:val="1"/>
        </w:rPr>
        <w:t xml:space="preserve">). </w:t>
      </w:r>
      <w:r w:rsidDel="00000000" w:rsidR="00000000" w:rsidRPr="00000000">
        <w:rPr>
          <w:i w:val="1"/>
          <w:rtl w:val="1"/>
        </w:rPr>
        <w:t xml:space="preserve">ובמקום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אפילו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חוזר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כ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הרי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מקודשת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צריך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ליטול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הכסף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ממנה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וליתן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בתורת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קדושין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המ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מ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הרשב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א</w:t>
      </w:r>
      <w:r w:rsidDel="00000000" w:rsidR="00000000" w:rsidRPr="00000000">
        <w:rPr>
          <w:i w:val="1"/>
          <w:rtl w:val="1"/>
        </w:rPr>
        <w:t xml:space="preserve">).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- 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מתשוב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קדשיני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