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ויאמר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מקדשת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הספק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יקח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רוצה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לומר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נתינה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לחודה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נתינה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ואמירה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לאמירתה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מקבילנא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אהברהם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ומסתרא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נ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מ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what if after she says it he responds “yes”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עסוקין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ולכאורה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דסובר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דטעמא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דמספקא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נודע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פקדון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לדבריה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ודאי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דמספקא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לג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אמירה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מעליא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הוי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which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works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nothing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Does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detract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אהברהם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ומסתרא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דאדבורא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דנפשי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ויהיב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].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ומקצת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לאמירתה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ואתקדש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שבאמירתה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מתקדשת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דספיקא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  <w:t xml:space="preserve">------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גרינבלאט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כאיגלאי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ואמירתה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וסרוחין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הסירחון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סירחון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ובעצם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מתלמודו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ולרנב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לאוין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להעכו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ולשנותו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הסירחון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פשיעתם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כשירגילו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ידידו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פיינשטיין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בקידושי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רעפארמער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תמוז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במלוואקי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הרעפארמער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ראבייס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0"/>
        </w:rPr>
        <w:t xml:space="preserve">reform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rabbis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בהאישות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  <w:t xml:space="preserve">….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ראבאייס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וכשנזדמן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שמכריחין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בפרנסתו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ואמירתה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