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Continuing on with the Gm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The Gm tries to learn out the other types of kiddushin from each other without the need for an independent source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rPr/>
      </w:pP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05">
      <w:pPr>
        <w:bidi w:val="1"/>
        <w:rPr/>
      </w:pPr>
      <w:r w:rsidDel="00000000" w:rsidR="00000000" w:rsidRPr="00000000">
        <w:rPr>
          <w:rtl w:val="1"/>
        </w:rPr>
        <w:t xml:space="preserve">ובעלה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מלמד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שנקנית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בביאה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והלא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יבמה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בכסף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נקנית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בביאה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שנקנית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בכסף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שנקנית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בביאה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אמה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העבריה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תוכיח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שנקנית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בביאה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העבריה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תאמר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שקנינה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אישות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ובעלה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קרא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אשי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מעיקרא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דדינא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פירכא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מהיכא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מייתית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מיבמה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ליבמה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זקוקה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ועומדת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תאמר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זקוקה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ועומדת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ובעלה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6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bidi w:val="1"/>
        <w:rPr/>
      </w:pP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08">
      <w:pPr>
        <w:bidi w:val="1"/>
        <w:rPr/>
      </w:pPr>
      <w:r w:rsidDel="00000000" w:rsidR="00000000" w:rsidRPr="00000000">
        <w:rPr>
          <w:rtl w:val="1"/>
        </w:rPr>
        <w:t xml:space="preserve">ומנין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בשטר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ודין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מוציא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מכניס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שמוציא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שמכניס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b w:val="1"/>
          <w:rtl w:val="1"/>
        </w:rPr>
        <w:t xml:space="preserve">מה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לכסף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שכן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פודין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הקדש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ומעשר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שני</w:t>
      </w:r>
      <w:r w:rsidDel="00000000" w:rsidR="00000000" w:rsidRPr="00000000">
        <w:rPr>
          <w:b w:val="1"/>
          <w:rtl w:val="1"/>
        </w:rPr>
        <w:t xml:space="preserve">,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ומעשר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דכתיב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ונתן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ויצאה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והיתה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מקיש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ליציאה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יציאה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בשטר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בשטר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ואקיש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יציאה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בכסף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יציאה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בכסף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אביי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יאמרו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מכניס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מוציא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סניגור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קטיגור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יאמרו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שטר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מכניס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קטיגור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סניגור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מילי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שטרא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לחוד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ומילי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שטרא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לחוד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כספא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לחוד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כספא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לחוד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טיבעא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רבא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וכתב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בכתיבה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מתגרשת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מתגרשת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בכסף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ואימא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בכתיבה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מתגרשת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מתקדשת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בכתיבה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כתיב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ויצאה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והיתה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מקיש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'. </w:t>
      </w:r>
      <w:r w:rsidDel="00000000" w:rsidR="00000000" w:rsidRPr="00000000">
        <w:rPr>
          <w:rtl w:val="1"/>
        </w:rPr>
        <w:t xml:space="preserve">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ראית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מסתברא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קאי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בגירושין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ממעט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גירושין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קאי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בגירושין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וממעט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ולרבי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יוסי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הגלילי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דאפיק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לדרשא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אחרינא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מתגרשת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כריתות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כורתה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כורתה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ורבנן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כריתות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מיבעי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לבינה</w:t>
      </w:r>
      <w:r w:rsidDel="00000000" w:rsidR="00000000" w:rsidRPr="00000000">
        <w:rPr>
          <w:rtl w:val="1"/>
        </w:rPr>
        <w:t xml:space="preserve">; </w:t>
      </w:r>
      <w:r w:rsidDel="00000000" w:rsidR="00000000" w:rsidRPr="00000000">
        <w:rPr>
          <w:rtl w:val="1"/>
        </w:rPr>
        <w:t xml:space="preserve">כדתניא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גיטיך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לעולם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כריתות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כריתות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יוסי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הגלילי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מכרת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כריתות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ורבנן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כרת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כריתות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חדא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מחדא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אתיא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תיתי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מתרתי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b w:val="1"/>
          <w:rtl w:val="1"/>
        </w:rPr>
        <w:t xml:space="preserve">הי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תיתי</w:t>
      </w:r>
      <w:r w:rsidDel="00000000" w:rsidR="00000000" w:rsidRPr="00000000">
        <w:rPr>
          <w:b w:val="1"/>
          <w:rtl w:val="1"/>
        </w:rPr>
        <w:t xml:space="preserve">? </w:t>
      </w:r>
      <w:r w:rsidDel="00000000" w:rsidR="00000000" w:rsidRPr="00000000">
        <w:rPr>
          <w:b w:val="1"/>
          <w:rtl w:val="1"/>
        </w:rPr>
        <w:t xml:space="preserve">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ליכתוב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רחמנא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בשטר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ותיתי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מהנך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מה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להנך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שכן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הנאתן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מרובה</w:t>
      </w:r>
      <w:r w:rsidDel="00000000" w:rsidR="00000000" w:rsidRPr="00000000">
        <w:rPr>
          <w:b w:val="1"/>
          <w:rtl w:val="1"/>
        </w:rPr>
        <w:t xml:space="preserve">!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ניכתוב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רחמנא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ותיתי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מהנך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מה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להנך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שכן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קנינן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מרובה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ניכתוב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רחמנא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ותיתי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מהנך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להנך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וכ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העבריה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באישות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אשכחן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09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bidi w:val="1"/>
        <w:rPr/>
      </w:pP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0C">
      <w:pPr>
        <w:bidi w:val="1"/>
        <w:rPr/>
      </w:pP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וביאה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הנאתן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מרובה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אירוסין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מקודשת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D">
      <w:pPr>
        <w:bidi w:val="1"/>
        <w:rPr/>
      </w:pPr>
      <w:r w:rsidDel="00000000" w:rsidR="00000000" w:rsidRPr="00000000">
        <w:rPr>
          <w:rtl w:val="1"/>
        </w:rPr>
        <w:t xml:space="preserve">קנינן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מרובה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שקונין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קרקעות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ועבדים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E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Why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is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unique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property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of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kesef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being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mentioned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that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it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can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be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used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redeem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הקדש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ומעשר</w:t>
      </w:r>
      <w:r w:rsidDel="00000000" w:rsidR="00000000" w:rsidRPr="00000000">
        <w:rPr>
          <w:rtl w:val="0"/>
        </w:rPr>
        <w:t xml:space="preserve">? </w:t>
      </w:r>
      <w:r w:rsidDel="00000000" w:rsidR="00000000" w:rsidRPr="00000000">
        <w:rPr>
          <w:rtl w:val="0"/>
        </w:rPr>
        <w:t xml:space="preserve">why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not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fact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that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it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works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for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kinyan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mitaltlin</w:t>
      </w:r>
      <w:r w:rsidDel="00000000" w:rsidR="00000000" w:rsidRPr="00000000">
        <w:rPr>
          <w:rtl w:val="0"/>
        </w:rPr>
        <w:t xml:space="preserve">- </w:t>
      </w:r>
      <w:r w:rsidDel="00000000" w:rsidR="00000000" w:rsidRPr="00000000">
        <w:rPr>
          <w:rtl w:val="1"/>
        </w:rPr>
        <w:t xml:space="preserve">מעות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קונות</w:t>
      </w:r>
      <w:r w:rsidDel="00000000" w:rsidR="00000000" w:rsidRPr="00000000">
        <w:rPr>
          <w:rtl w:val="0"/>
        </w:rPr>
        <w:t xml:space="preserve">?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bidi w:val="1"/>
        <w:rPr/>
      </w:pP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ירושלמי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וילנא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14">
      <w:pPr>
        <w:bidi w:val="1"/>
        <w:rPr/>
      </w:pP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</w:p>
    <w:p w:rsidR="00000000" w:rsidDel="00000000" w:rsidP="00000000" w:rsidRDefault="00000000" w:rsidRPr="00000000" w14:paraId="00000015">
      <w:pPr>
        <w:bidi w:val="1"/>
        <w:rPr/>
      </w:pPr>
      <w:r w:rsidDel="00000000" w:rsidR="00000000" w:rsidRPr="00000000">
        <w:rPr>
          <w:rtl w:val="1"/>
        </w:rPr>
        <w:t xml:space="preserve">מתני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בשלש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ובשטר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ובביאה</w:t>
      </w:r>
      <w:r w:rsidDel="00000000" w:rsidR="00000000" w:rsidRPr="00000000">
        <w:rPr>
          <w:rtl w:val="1"/>
        </w:rPr>
        <w:t xml:space="preserve">…. </w:t>
      </w:r>
    </w:p>
    <w:p w:rsidR="00000000" w:rsidDel="00000000" w:rsidP="00000000" w:rsidRDefault="00000000" w:rsidRPr="00000000" w14:paraId="00000016">
      <w:pPr>
        <w:bidi w:val="1"/>
        <w:rPr/>
      </w:pPr>
      <w:r w:rsidDel="00000000" w:rsidR="00000000" w:rsidRPr="00000000">
        <w:rPr>
          <w:rtl w:val="1"/>
        </w:rPr>
        <w:t xml:space="preserve">גמ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כיני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מתני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חייה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בשלשתן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מהן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17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bidi w:val="1"/>
        <w:rPr/>
      </w:pPr>
      <w:r w:rsidDel="00000000" w:rsidR="00000000" w:rsidRPr="00000000">
        <w:rPr>
          <w:rtl w:val="1"/>
        </w:rPr>
        <w:t xml:space="preserve">קרבן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</w:p>
    <w:p w:rsidR="00000000" w:rsidDel="00000000" w:rsidP="00000000" w:rsidRDefault="00000000" w:rsidRPr="00000000" w14:paraId="00000019">
      <w:pPr>
        <w:bidi w:val="1"/>
        <w:rPr/>
      </w:pPr>
      <w:r w:rsidDel="00000000" w:rsidR="00000000" w:rsidRPr="00000000">
        <w:rPr>
          <w:rtl w:val="1"/>
        </w:rPr>
        <w:t xml:space="preserve">גמ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כיני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מתני</w:t>
      </w:r>
      <w:r w:rsidDel="00000000" w:rsidR="00000000" w:rsidRPr="00000000">
        <w:rPr>
          <w:rtl w:val="1"/>
        </w:rPr>
        <w:t xml:space="preserve">'.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פירושא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דמתני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שהאשה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משלשה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':</w:t>
      </w:r>
    </w:p>
    <w:p w:rsidR="00000000" w:rsidDel="00000000" w:rsidP="00000000" w:rsidRDefault="00000000" w:rsidRPr="00000000" w14:paraId="0000001A">
      <w:pPr>
        <w:bidi w:val="1"/>
        <w:rPr/>
      </w:pPr>
      <w:r w:rsidDel="00000000" w:rsidR="00000000" w:rsidRPr="00000000">
        <w:rPr>
          <w:rtl w:val="1"/>
        </w:rPr>
        <w:t xml:space="preserve">ותני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ותניא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מפורש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בברייתא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1B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סוף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דבר</w:t>
      </w:r>
      <w:r w:rsidDel="00000000" w:rsidR="00000000" w:rsidRPr="00000000">
        <w:rPr>
          <w:b w:val="1"/>
          <w:rtl w:val="1"/>
        </w:rPr>
        <w:t xml:space="preserve">. </w:t>
      </w:r>
      <w:r w:rsidDel="00000000" w:rsidR="00000000" w:rsidRPr="00000000">
        <w:rPr>
          <w:b w:val="1"/>
          <w:rtl w:val="1"/>
        </w:rPr>
        <w:t xml:space="preserve">לאו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דוקא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בשלשה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דרכים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יחד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נקנית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אפי</w:t>
      </w:r>
      <w:r w:rsidDel="00000000" w:rsidR="00000000" w:rsidRPr="00000000">
        <w:rPr>
          <w:b w:val="1"/>
          <w:rtl w:val="1"/>
        </w:rPr>
        <w:t xml:space="preserve">' </w:t>
      </w:r>
      <w:r w:rsidDel="00000000" w:rsidR="00000000" w:rsidRPr="00000000">
        <w:rPr>
          <w:b w:val="1"/>
          <w:rtl w:val="1"/>
        </w:rPr>
        <w:t xml:space="preserve">באחד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משלשתן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נקנית</w:t>
      </w:r>
      <w:r w:rsidDel="00000000" w:rsidR="00000000" w:rsidRPr="00000000">
        <w:rPr>
          <w:b w:val="1"/>
          <w:rtl w:val="1"/>
        </w:rPr>
        <w:t xml:space="preserve">:</w:t>
      </w:r>
    </w:p>
    <w:p w:rsidR="00000000" w:rsidDel="00000000" w:rsidP="00000000" w:rsidRDefault="00000000" w:rsidRPr="00000000" w14:paraId="0000001C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bidi w:val="1"/>
        <w:rPr/>
      </w:pP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20">
      <w:pPr>
        <w:bidi w:val="1"/>
        <w:rPr/>
      </w:pP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בשטר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כיצד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הנייר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החרס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פרוטה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מקודשת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בתך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מאורסת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בתך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לאינתו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מקודשת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מתקיף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זירא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ממל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שטרא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זביני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מקודשת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מעניינא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דקרא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מעניינא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דקרא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כתיב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ומכר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מאחוזתו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במוכר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רחמנא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כתיב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יקח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רחמנא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21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bidi w:val="1"/>
        <w:rPr/>
      </w:pP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23">
      <w:pPr>
        <w:bidi w:val="1"/>
        <w:rPr/>
      </w:pPr>
      <w:r w:rsidDel="00000000" w:rsidR="00000000" w:rsidRPr="00000000">
        <w:rPr>
          <w:rtl w:val="1"/>
        </w:rPr>
        <w:t xml:space="preserve">בעי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שמעון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לקיש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שטר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אירוסין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שכתבו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לשמה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מהו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הויות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ליציאות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מקשינן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יציאה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לשמה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לשמה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להדדי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מקשינן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לשמה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לשמה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בתר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דבעיא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פשטה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הוייה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ליציאה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מקשינן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ויצאה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והיתה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איתמר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כתבו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מדעתה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רבא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ורבינא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אמרי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מקודשת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פפא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שרביא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אמרי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מקודשת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פפא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דידהו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דידי</w:t>
      </w:r>
      <w:r w:rsidDel="00000000" w:rsidR="00000000" w:rsidRPr="00000000">
        <w:rPr>
          <w:rtl w:val="1"/>
        </w:rPr>
        <w:t xml:space="preserve">; </w:t>
      </w:r>
      <w:r w:rsidDel="00000000" w:rsidR="00000000" w:rsidRPr="00000000">
        <w:rPr>
          <w:rtl w:val="1"/>
        </w:rPr>
        <w:t xml:space="preserve">אימא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דידהו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דכתיב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והיתה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מקיש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ליציאה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יציאה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מדעתה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מדעתה</w:t>
      </w:r>
      <w:r w:rsidDel="00000000" w:rsidR="00000000" w:rsidRPr="00000000">
        <w:rPr>
          <w:rtl w:val="1"/>
        </w:rPr>
        <w:t xml:space="preserve">; </w:t>
      </w:r>
      <w:r w:rsidDel="00000000" w:rsidR="00000000" w:rsidRPr="00000000">
        <w:rPr>
          <w:rtl w:val="1"/>
        </w:rPr>
        <w:t xml:space="preserve">ואימא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דידי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ויצאה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והיתה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מקיש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ליציאה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יציאה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מקנה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מיתיבי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כותבין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שטרי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אירוסין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ונשואין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שניהן</w:t>
      </w:r>
      <w:r w:rsidDel="00000000" w:rsidR="00000000" w:rsidRPr="00000000">
        <w:rPr>
          <w:rtl w:val="1"/>
        </w:rPr>
        <w:t xml:space="preserve">; </w:t>
      </w: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שטרי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אירוסין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ונשואין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שטרי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פסיקתא</w:t>
      </w:r>
      <w:r w:rsidDel="00000000" w:rsidR="00000000" w:rsidRPr="00000000">
        <w:rPr>
          <w:rtl w:val="1"/>
        </w:rPr>
        <w:t xml:space="preserve">; </w:t>
      </w:r>
      <w:r w:rsidDel="00000000" w:rsidR="00000000" w:rsidRPr="00000000">
        <w:rPr>
          <w:rtl w:val="1"/>
        </w:rPr>
        <w:t xml:space="preserve">וכדרב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גידל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גידל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לבנך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לבתך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עמדו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וקדשו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קנו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הנקנים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באמירה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2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bidi w:val="1"/>
        <w:rPr/>
      </w:pP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26">
      <w:pPr>
        <w:bidi w:val="1"/>
        <w:rPr/>
      </w:pPr>
      <w:r w:rsidDel="00000000" w:rsidR="00000000" w:rsidRPr="00000000">
        <w:rPr>
          <w:rtl w:val="1"/>
        </w:rPr>
        <w:t xml:space="preserve">ובביאה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לן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אבהו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יוחנן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בעולת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מלמד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שנעשה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בעילה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זירא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אבהו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ואמרי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יוחנן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כעורה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ובעלה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מלמד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שנקנית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בביאה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b w:val="1"/>
          <w:u w:val="single"/>
          <w:rtl w:val="1"/>
        </w:rPr>
        <w:t xml:space="preserve">אי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מהתם</w:t>
      </w:r>
      <w:r w:rsidDel="00000000" w:rsidR="00000000" w:rsidRPr="00000000">
        <w:rPr>
          <w:b w:val="1"/>
          <w:u w:val="single"/>
          <w:rtl w:val="1"/>
        </w:rPr>
        <w:t xml:space="preserve">, </w:t>
      </w:r>
      <w:r w:rsidDel="00000000" w:rsidR="00000000" w:rsidRPr="00000000">
        <w:rPr>
          <w:b w:val="1"/>
          <w:u w:val="single"/>
          <w:rtl w:val="1"/>
        </w:rPr>
        <w:t xml:space="preserve">הוה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אמינא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עד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דמקדש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והדר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בעיל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קמ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27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bidi w:val="1"/>
      <w:jc w:val="center"/>
      <w:rPr/>
    </w:pPr>
    <w:r w:rsidDel="00000000" w:rsidR="00000000" w:rsidRPr="00000000">
      <w:rPr>
        <w:rtl w:val="1"/>
      </w:rPr>
      <w:t xml:space="preserve">מתיבתא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ברקיעא</w:t>
    </w:r>
    <w:r w:rsidDel="00000000" w:rsidR="00000000" w:rsidRPr="00000000">
      <w:rPr>
        <w:rtl w:val="1"/>
      </w:rPr>
      <w:t xml:space="preserve">: </w:t>
    </w:r>
    <w:r w:rsidDel="00000000" w:rsidR="00000000" w:rsidRPr="00000000">
      <w:rPr>
        <w:rtl w:val="1"/>
      </w:rPr>
      <w:t xml:space="preserve">לעילוי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נשמת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הרב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בן</w:t>
    </w:r>
    <w:r w:rsidDel="00000000" w:rsidR="00000000" w:rsidRPr="00000000">
      <w:rPr>
        <w:rtl w:val="1"/>
      </w:rPr>
      <w:t xml:space="preserve">-</w:t>
    </w:r>
    <w:r w:rsidDel="00000000" w:rsidR="00000000" w:rsidRPr="00000000">
      <w:rPr>
        <w:rtl w:val="1"/>
      </w:rPr>
      <w:t xml:space="preserve">ציון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בן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הרב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יחזקאל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ואסתר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מרים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