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מצוות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קידושין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u w:val="single"/>
          <w:rtl w:val="1"/>
        </w:rPr>
        <w:t xml:space="preserve">הקושי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במקורות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b w:val="1"/>
          <w:u w:val="single"/>
          <w:rtl w:val="1"/>
        </w:rPr>
        <w:t xml:space="preserve">כי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מביתו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צחקת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ותכחש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צחקת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1"/>
        </w:rPr>
        <w:t xml:space="preserve">ואם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</w:t>
      </w:r>
      <w:r w:rsidDel="00000000" w:rsidR="00000000" w:rsidRPr="00000000">
        <w:rPr>
          <w:rtl w:val="1"/>
        </w:rPr>
        <w:t xml:space="preserve">):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דלמא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פתרונו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משאו</w:t>
      </w:r>
      <w:r w:rsidDel="00000000" w:rsidR="00000000" w:rsidRPr="00000000">
        <w:rPr>
          <w:rtl w:val="1"/>
        </w:rPr>
        <w:t xml:space="preserve">:)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'/.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ובשלוחו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ובשלוחה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ובשלוחו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; 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וגיטין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ושוברין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דייתיקי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ופרוזבולין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ומיאונים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גזרות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יקדמנו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לבתך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וקדשו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לארס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לארס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קעביד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שמע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דתנא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שמואל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מארסין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כונסין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חולצין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מיבמין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מקדישין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מעריכין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מחרימין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מגביהין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….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קעביד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מקדשין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והא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קעביד</w:t>
      </w:r>
      <w:r w:rsidDel="00000000" w:rsidR="00000000" w:rsidRPr="00000000">
        <w:rPr>
          <w:b w:val="1"/>
          <w:rtl w:val="1"/>
        </w:rPr>
        <w:t xml:space="preserve">! -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ובנים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1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?</w:t>
        <w:br w:type="textWrapping"/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ונקבה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ביבמות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ומיהא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ידך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למצותו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בלבו</w:t>
      </w:r>
      <w:r w:rsidDel="00000000" w:rsidR="00000000" w:rsidRPr="00000000">
        <w:rPr>
          <w:rtl w:val="1"/>
        </w:rPr>
        <w:t xml:space="preserve">…</w:t>
        <w:br w:type="textWrapping"/>
      </w: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ורמינהו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סעודת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והשתא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בסעודה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ראשונה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סבלונות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וסבלונות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סבלונות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לארוסתו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סבלונות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סבלונות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דורונות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וביהודה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שמתייחד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אידך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האירוסין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רבין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אלוקינו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הארוסות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וקדושין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וקדושין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אקידושא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הארוסות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כדפרישית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חנוכה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rtl w:val="1"/>
        </w:rPr>
        <w:t xml:space="preserve">והתיר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וקידושין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אברכת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העץ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אקידושא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חתמינן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חתמינן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