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ובביאה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בנעוריה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מבנעוריה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מקנסא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בגוייהו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 -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מיחסרא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המאורסה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לכדתניא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אפיקתיה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מתזנא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ושכיר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דאילונית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דאילונית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ולמר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לשנויי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משנינן</w:t>
      </w:r>
      <w:r w:rsidDel="00000000" w:rsidR="00000000" w:rsidRPr="00000000">
        <w:rPr>
          <w:rtl w:val="1"/>
        </w:rPr>
        <w:t xml:space="preserve">. )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דיהבה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וקידשתו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תקח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What is the nature of the Father’s involvement?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וסקלוה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שנתפתתה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מדזכי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ממלאכתה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כשזינתה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בסקילה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בזבוני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ודחינן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לתלמידים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לרווחא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ופרקינן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דזיכתה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br w:type="textWrapping"/>
        <w:t xml:space="preserve">….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איפלגו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במכילתין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מדזכי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דמיתזנא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דכות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ללומדם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מבנעוריה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מבנעוריה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מבנעורי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מקנסא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מבנעורי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וצריכא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שהקשיתי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