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Coinage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0"/>
        </w:rPr>
        <w:t xml:space="preserve">  -</w:t>
      </w:r>
      <w:r w:rsidDel="00000000" w:rsidR="00000000" w:rsidRPr="00000000">
        <w:rPr>
          <w:rtl w:val="0"/>
        </w:rPr>
        <w:t xml:space="preserve">Value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Commoditites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Ishut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opposed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האיטלקי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דשבועות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ילפי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מעבד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דאתקוש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ואקשי</w:t>
      </w:r>
      <w:r w:rsidDel="00000000" w:rsidR="00000000" w:rsidRPr="00000000">
        <w:rPr>
          <w:rtl w:val="1"/>
        </w:rPr>
        <w:t xml:space="preserve">') [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לאקשויי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האיטלקי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דאיטלקי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איטליא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שושנכיא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כדלקמיה</w:t>
      </w:r>
      <w:r w:rsidDel="00000000" w:rsidR="00000000" w:rsidRPr="00000000">
        <w:rPr>
          <w:rtl w:val="1"/>
        </w:rPr>
        <w:t xml:space="preserve">]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דמכילתין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