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בראשית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02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כד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ויאמר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אלהים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וחיתו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כה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ויעש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אלהים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אלהים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ויאמר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אלהים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בצלמנו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כדמותנו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וירדו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בדגת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ובעוף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ובבהמה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ובכל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כז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ויברא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אלהים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בצלמו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אלהים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ונקבה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אתם</w:t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כח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ויברך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אלהים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אלהים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וכבשה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בדגת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ובעוף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כט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ויאמר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אלהים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לאכלה</w:t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וירא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אלהים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הששי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פ</w:t>
      </w:r>
    </w:p>
    <w:p w:rsidR="00000000" w:rsidDel="00000000" w:rsidP="00000000" w:rsidRDefault="00000000" w:rsidRPr="00000000" w14:paraId="00000003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בראשית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,</w:t>
      </w:r>
    </w:p>
    <w:p w:rsidR="00000000" w:rsidDel="00000000" w:rsidP="00000000" w:rsidRDefault="00000000" w:rsidRPr="00000000" w14:paraId="00000004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וייצר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אלהים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ויפח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באפיו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לנפש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חיה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5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...</w:t>
      </w:r>
    </w:p>
    <w:p w:rsidR="00000000" w:rsidDel="00000000" w:rsidP="00000000" w:rsidRDefault="00000000" w:rsidRPr="00000000" w14:paraId="00000006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יח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ויאמר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אלהים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טוב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האדם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לבדו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אעשה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עזר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כנגדו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יט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ויצר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אלהים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</w:t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ויקרא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ולעוף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כנגדו</w:t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כא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ויפל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אלהים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תרדמה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ויישן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מצלעתיו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ויסגר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תחתנה</w:t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כב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ויבן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אלהים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הצלע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ויבאה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כג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ויאמר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עצם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מעצמי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ובשר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מבשרי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לקחה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כד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יעזב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אביו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אמו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ודבק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באשתו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והיו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לבשר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אחד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כה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ויהיו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ערומים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ואשתו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יתבששו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7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בראשית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9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ויראו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האלהים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ויקחו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בחרו</w:t>
      </w:r>
      <w:r w:rsidDel="00000000" w:rsidR="00000000" w:rsidRPr="00000000">
        <w:rPr>
          <w:rtl w:val="1"/>
        </w:rPr>
        <w:t xml:space="preserve">:  )</w:t>
      </w:r>
    </w:p>
    <w:p w:rsidR="00000000" w:rsidDel="00000000" w:rsidP="00000000" w:rsidRDefault="00000000" w:rsidRPr="00000000" w14:paraId="0000000A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בראשית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בראשית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br w:type="textWrapping"/>
        <w:t xml:space="preserve">...</w:t>
      </w:r>
      <w:r w:rsidDel="00000000" w:rsidR="00000000" w:rsidRPr="00000000">
        <w:rPr>
          <w:rtl w:val="1"/>
        </w:rPr>
        <w:t xml:space="preserve">וספר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החמס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בחרו</w:t>
      </w:r>
      <w:r w:rsidDel="00000000" w:rsidR="00000000" w:rsidRPr="00000000">
        <w:rPr>
          <w:rtl w:val="1"/>
        </w:rPr>
        <w:t xml:space="preserve">", </w:t>
      </w:r>
      <w:r w:rsidDel="00000000" w:rsidR="00000000" w:rsidRPr="00000000">
        <w:rPr>
          <w:rtl w:val="1"/>
        </w:rPr>
        <w:t xml:space="preserve">להכניס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הנשואות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בפירוש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העונש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החמס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לתורה</w:t>
      </w:r>
      <w:r w:rsidDel="00000000" w:rsidR="00000000" w:rsidRPr="00000000">
        <w:rPr>
          <w:rtl w:val="1"/>
        </w:rPr>
        <w:t xml:space="preserve">:)</w:t>
      </w:r>
    </w:p>
    <w:p w:rsidR="00000000" w:rsidDel="00000000" w:rsidP="00000000" w:rsidRDefault="00000000" w:rsidRPr="00000000" w14:paraId="0000000B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ו</w:t>
      </w:r>
    </w:p>
    <w:p w:rsidR="00000000" w:rsidDel="00000000" w:rsidP="00000000" w:rsidRDefault="00000000" w:rsidRPr="00000000" w14:paraId="0000000E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כריתת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ושלחה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מביתו</w:t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ויצאה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ושנאה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כריתת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ושלחה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לאשה</w:t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לקחתה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הטמאה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תועבה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תחטיא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אלהיך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נחלה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ושמח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לקח</w:t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ורכב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חבל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ס</w:t>
      </w:r>
    </w:p>
    <w:p w:rsidR="00000000" w:rsidDel="00000000" w:rsidP="00000000" w:rsidRDefault="00000000" w:rsidRPr="00000000" w14:paraId="0000000F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Why does the Torah introduce marriage (in the legal sense) to us in context of divorce?</w:t>
      </w:r>
    </w:p>
    <w:p w:rsidR="00000000" w:rsidDel="00000000" w:rsidP="00000000" w:rsidRDefault="00000000" w:rsidRPr="00000000" w14:paraId="00000011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bidi w:val="1"/>
        <w:spacing w:after="240" w:befor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בני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נח</w:t>
      </w:r>
      <w:r w:rsidDel="00000000" w:rsidR="00000000" w:rsidRPr="00000000">
        <w:rPr>
          <w:b w:val="1"/>
          <w:u w:val="single"/>
          <w:rtl w:val="1"/>
        </w:rPr>
        <w:t xml:space="preserve">\ </w:t>
      </w:r>
      <w:r w:rsidDel="00000000" w:rsidR="00000000" w:rsidRPr="00000000">
        <w:rPr>
          <w:b w:val="1"/>
          <w:u w:val="single"/>
          <w:rtl w:val="1"/>
        </w:rPr>
        <w:t xml:space="preserve">קודם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מתן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תורה</w:t>
      </w:r>
    </w:p>
    <w:p w:rsidR="00000000" w:rsidDel="00000000" w:rsidP="00000000" w:rsidRDefault="00000000" w:rsidRPr="00000000" w14:paraId="00000014">
      <w:pPr>
        <w:bidi w:val="1"/>
        <w:spacing w:after="240" w:before="240" w:lineRule="auto"/>
        <w:rPr/>
      </w:pPr>
      <w:r w:rsidDel="00000000" w:rsidR="00000000" w:rsidRPr="00000000">
        <w:rPr>
          <w:u w:val="single"/>
          <w:rtl w:val="1"/>
        </w:rPr>
        <w:t xml:space="preserve">רמב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15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מכניסה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ובועלה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נצטוו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שנאמר</w:t>
      </w:r>
      <w:r w:rsidDel="00000000" w:rsidR="00000000" w:rsidRPr="00000000">
        <w:rPr>
          <w:rtl w:val="1"/>
        </w:rPr>
        <w:t xml:space="preserve"> +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+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6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</w:p>
    <w:p w:rsidR="00000000" w:rsidDel="00000000" w:rsidP="00000000" w:rsidRDefault="00000000" w:rsidRPr="00000000" w14:paraId="00000017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שנבעלה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מאורסה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שנכנסה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נבעלה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הישראלית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מאורסה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נסקל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שנכנסה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נבעלה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בחנק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שנבעלה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ויהרג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בסייף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8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</w:p>
    <w:p w:rsidR="00000000" w:rsidDel="00000000" w:rsidP="00000000" w:rsidRDefault="00000000" w:rsidRPr="00000000" w14:paraId="00000019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לעבדו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נהרג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חבירו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שיפשט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פלוני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ומאימתי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משיפרישנה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מעבדו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ויפרע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ומאימתי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כגרושה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משיוציאנה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וישלחנה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לעצמה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משתצא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גירושין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בכתב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פורשין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A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C">
      <w:pPr>
        <w:bidi w:val="1"/>
        <w:spacing w:after="240" w:before="240" w:lineRule="auto"/>
        <w:rPr>
          <w:u w:val="single"/>
        </w:rPr>
      </w:pPr>
      <w:r w:rsidDel="00000000" w:rsidR="00000000" w:rsidRPr="00000000">
        <w:rPr>
          <w:u w:val="single"/>
          <w:rtl w:val="1"/>
        </w:rPr>
        <w:t xml:space="preserve">תלמוד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ירושלמי</w:t>
      </w:r>
      <w:r w:rsidDel="00000000" w:rsidR="00000000" w:rsidRPr="00000000">
        <w:rPr>
          <w:u w:val="single"/>
          <w:rtl w:val="1"/>
        </w:rPr>
        <w:t xml:space="preserve"> (</w:t>
      </w:r>
      <w:r w:rsidDel="00000000" w:rsidR="00000000" w:rsidRPr="00000000">
        <w:rPr>
          <w:u w:val="single"/>
          <w:rtl w:val="1"/>
        </w:rPr>
        <w:t xml:space="preserve">וילנא</w:t>
      </w:r>
      <w:r w:rsidDel="00000000" w:rsidR="00000000" w:rsidRPr="00000000">
        <w:rPr>
          <w:u w:val="single"/>
          <w:rtl w:val="1"/>
        </w:rPr>
        <w:t xml:space="preserve">) </w:t>
      </w:r>
      <w:r w:rsidDel="00000000" w:rsidR="00000000" w:rsidRPr="00000000">
        <w:rPr>
          <w:u w:val="single"/>
          <w:rtl w:val="1"/>
        </w:rPr>
        <w:t xml:space="preserve">מסכת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קידושין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פרק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הלכה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</w:t>
      </w:r>
    </w:p>
    <w:p w:rsidR="00000000" w:rsidDel="00000000" w:rsidP="00000000" w:rsidRDefault="00000000" w:rsidRPr="00000000" w14:paraId="0000001D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למדנו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גירושין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פזי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חנין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חונה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דציפורין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גירושין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ששניהן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מגרשין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יוחנן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דצפרין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חיננא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שמואל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נחמן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מלאכי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טז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אלהי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גירושין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גירושין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חנניה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פינחס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צבאות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ללמדך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בגירושין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חייה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גירושין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חייה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שגירש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ונישאת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וגירשה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נתגיירו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לקחתה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והכשיר</w:t>
      </w:r>
    </w:p>
    <w:p w:rsidR="00000000" w:rsidDel="00000000" w:rsidP="00000000" w:rsidRDefault="00000000" w:rsidRPr="00000000" w14:paraId="0000001E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F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20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למדנו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עכומ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כדדריש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ארוסות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21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מהו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גירושין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שקנאה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לגרשה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22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גירושין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דנתמעטו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מהמקרא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דלקמיה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נתמעטו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גירושין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ובעכו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מגרשין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כדפליגי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אמוראי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בהא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23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בישראל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גירושין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יוחנן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גירושין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למעוטי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גירושין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בעכו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מגרשין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24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חנניה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במלאכי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צבאות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ללמדך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בגירושין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בעכו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25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ואח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נתגיירו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דגר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שנתגייר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כקטן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שנולד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וגירושי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גירושין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26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ותני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והכשיר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להחזירה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27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8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9">
      <w:pPr>
        <w:bidi w:val="1"/>
        <w:spacing w:after="240" w:before="240" w:lineRule="auto"/>
        <w:rPr/>
      </w:pPr>
      <w:r w:rsidDel="00000000" w:rsidR="00000000" w:rsidRPr="00000000">
        <w:rPr>
          <w:u w:val="single"/>
          <w:rtl w:val="1"/>
        </w:rPr>
        <w:t xml:space="preserve">חידושי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הר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סנהדרין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2A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גירושין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וישלחנה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לעצמה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גירושיו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גירושין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מלכים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בחדושיו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בגירושין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הגירושין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בשפחה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היחוד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שייחדה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שהותרה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בפריעת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שהיחוד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שאסרה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הפריעות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בעיני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הגירושין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בגירושין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שבכתב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2B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C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D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E">
      <w:pPr>
        <w:bidi w:val="1"/>
        <w:spacing w:after="240" w:befor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אירוסין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ונישואין</w:t>
      </w:r>
    </w:p>
    <w:p w:rsidR="00000000" w:rsidDel="00000000" w:rsidP="00000000" w:rsidRDefault="00000000" w:rsidRPr="00000000" w14:paraId="0000002F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30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31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מכניסה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ובועלה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נצטוו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שנאמר</w:t>
      </w:r>
      <w:r w:rsidDel="00000000" w:rsidR="00000000" w:rsidRPr="00000000">
        <w:rPr>
          <w:rtl w:val="1"/>
        </w:rPr>
        <w:t xml:space="preserve"> +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+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2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33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וליקוחין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נקנית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בביאה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בביאה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סופרים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וליקוחין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הנקראין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אירוסין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שנקנית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הנקראת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מאורסת</w:t>
      </w:r>
      <w:r w:rsidDel="00000000" w:rsidR="00000000" w:rsidRPr="00000000">
        <w:rPr>
          <w:rtl w:val="1"/>
        </w:rPr>
        <w:t xml:space="preserve">. +/</w:t>
      </w:r>
      <w:r w:rsidDel="00000000" w:rsidR="00000000" w:rsidRPr="00000000">
        <w:rPr>
          <w:rtl w:val="1"/>
        </w:rPr>
        <w:t xml:space="preserve">השגת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/ </w:t>
      </w:r>
      <w:r w:rsidDel="00000000" w:rsidR="00000000" w:rsidRPr="00000000">
        <w:rPr>
          <w:rtl w:val="1"/>
        </w:rPr>
        <w:t xml:space="preserve">בביאה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סופרים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משובש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הטעהו</w:t>
      </w:r>
      <w:r w:rsidDel="00000000" w:rsidR="00000000" w:rsidRPr="00000000">
        <w:rPr>
          <w:rtl w:val="1"/>
        </w:rPr>
        <w:t xml:space="preserve">.+</w:t>
      </w:r>
    </w:p>
    <w:p w:rsidR="00000000" w:rsidDel="00000000" w:rsidP="00000000" w:rsidRDefault="00000000" w:rsidRPr="00000000" w14:paraId="00000034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</w:p>
    <w:p w:rsidR="00000000" w:rsidDel="00000000" w:rsidP="00000000" w:rsidRDefault="00000000" w:rsidRPr="00000000" w14:paraId="00000035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שנקנית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ונעשית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נבעלה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נכנסה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גט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6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7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</w:p>
    <w:p w:rsidR="00000000" w:rsidDel="00000000" w:rsidP="00000000" w:rsidRDefault="00000000" w:rsidRPr="00000000" w14:paraId="00000038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39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הארוסה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סופרים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ארוסתו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מרדות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ויתיחד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ויפרישנה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וייחוד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כניסה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נישואין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ארוסתו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נישואין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שקידשה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משיערה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ונעשית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A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3B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שנכנסה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הארוסה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ומשתכנס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נקראת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נבעלה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לבעילה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שנכנסה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ונתיחד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הנישואין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כארוסה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עדיין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C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D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שיטה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מקובצת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3E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שיטה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ישנה</w:t>
      </w:r>
    </w:p>
    <w:p w:rsidR="00000000" w:rsidDel="00000000" w:rsidP="00000000" w:rsidRDefault="00000000" w:rsidRPr="00000000" w14:paraId="0000003F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הארוסות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הארוסות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כדדרשינן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מאורסה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אילימא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שנכנסה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נבעלה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דאכתי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מחסרה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דבעיא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כארוסת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ואסירא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הארוסות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שגזרו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הייחוד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ארוסה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0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How/why should there be a stage in marriage that intentionally (either Biblically or Rabbinincally) makes the husband and wife </w:t>
      </w:r>
      <w:r w:rsidDel="00000000" w:rsidR="00000000" w:rsidRPr="00000000">
        <w:rPr>
          <w:b w:val="1"/>
          <w:rtl w:val="0"/>
        </w:rPr>
        <w:t xml:space="preserve">more </w:t>
      </w:r>
      <w:r w:rsidDel="00000000" w:rsidR="00000000" w:rsidRPr="00000000">
        <w:rPr>
          <w:rtl w:val="0"/>
        </w:rPr>
        <w:t xml:space="preserve">prohibited to each other? </w:t>
      </w:r>
    </w:p>
    <w:p w:rsidR="00000000" w:rsidDel="00000000" w:rsidP="00000000" w:rsidRDefault="00000000" w:rsidRPr="00000000" w14:paraId="00000043">
      <w:pPr>
        <w:bidi w:val="1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 w:footer="72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bidi w:val="1"/>
      <w:jc w:val="center"/>
      <w:rPr/>
    </w:pPr>
    <w:r w:rsidDel="00000000" w:rsidR="00000000" w:rsidRPr="00000000">
      <w:rPr>
        <w:rtl w:val="1"/>
      </w:rPr>
      <w:t xml:space="preserve">מתיבתא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ברקיעא</w:t>
    </w:r>
    <w:r w:rsidDel="00000000" w:rsidR="00000000" w:rsidRPr="00000000">
      <w:rPr>
        <w:rtl w:val="1"/>
      </w:rPr>
      <w:t xml:space="preserve">: </w:t>
    </w:r>
    <w:r w:rsidDel="00000000" w:rsidR="00000000" w:rsidRPr="00000000">
      <w:rPr>
        <w:rtl w:val="1"/>
      </w:rPr>
      <w:t xml:space="preserve">לעילוי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נשמת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-</w:t>
    </w:r>
    <w:r w:rsidDel="00000000" w:rsidR="00000000" w:rsidRPr="00000000">
      <w:rPr>
        <w:rtl w:val="1"/>
      </w:rPr>
      <w:t xml:space="preserve">ציון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יחזקאל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ואסתר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מרים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