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בעא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והתקבלי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כתובתך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איתיביה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התקבלי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לכתובתך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לכתובתה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דמגילתא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שתחזירי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תיקו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למיתב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גירושין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rtl w:val="1"/>
        </w:rPr>
        <w:t xml:space="preserve">[</w:t>
      </w:r>
      <w:r w:rsidDel="00000000" w:rsidR="00000000" w:rsidRPr="00000000">
        <w:rPr>
          <w:color w:val="ff0000"/>
          <w:rtl w:val="1"/>
        </w:rPr>
        <w:t xml:space="preserve">משמע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שחסרון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בנתינה</w:t>
      </w:r>
      <w:r w:rsidDel="00000000" w:rsidR="00000000" w:rsidRPr="00000000">
        <w:rPr>
          <w:color w:val="ff0000"/>
          <w:rtl w:val="1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לכתובתיך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אוירא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גליון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color w:val="ff0000"/>
        </w:rPr>
      </w:pPr>
      <w:r w:rsidDel="00000000" w:rsidR="00000000" w:rsidRPr="00000000">
        <w:rPr>
          <w:rtl w:val="1"/>
        </w:rPr>
        <w:t xml:space="preserve">והנייר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מעכב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לעצמי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rtl w:val="1"/>
        </w:rPr>
        <w:t xml:space="preserve">[</w:t>
      </w:r>
      <w:r w:rsidDel="00000000" w:rsidR="00000000" w:rsidRPr="00000000">
        <w:rPr>
          <w:color w:val="ff0000"/>
          <w:rtl w:val="1"/>
        </w:rPr>
        <w:t xml:space="preserve">משמע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שחסרון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בנתינה</w:t>
      </w:r>
      <w:r w:rsidDel="00000000" w:rsidR="00000000" w:rsidRPr="00000000">
        <w:rPr>
          <w:color w:val="ff0000"/>
          <w:rtl w:val="1"/>
        </w:rPr>
        <w:t xml:space="preserve">]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כלום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rtl w:val="1"/>
        </w:rPr>
        <w:t xml:space="preserve">[</w:t>
      </w:r>
      <w:r w:rsidDel="00000000" w:rsidR="00000000" w:rsidRPr="00000000">
        <w:rPr>
          <w:color w:val="ff0000"/>
          <w:rtl w:val="1"/>
        </w:rPr>
        <w:t xml:space="preserve">משמע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שחסרון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בנתינה</w:t>
      </w:r>
      <w:r w:rsidDel="00000000" w:rsidR="00000000" w:rsidRPr="00000000">
        <w:rPr>
          <w:color w:val="ff0000"/>
          <w:rtl w:val="1"/>
        </w:rPr>
        <w:t xml:space="preserve">]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נמצאו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פורחות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באויר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rtl w:val="1"/>
        </w:rPr>
        <w:t xml:space="preserve">[</w:t>
      </w:r>
      <w:r w:rsidDel="00000000" w:rsidR="00000000" w:rsidRPr="00000000">
        <w:rPr>
          <w:color w:val="ff0000"/>
          <w:rtl w:val="1"/>
        </w:rPr>
        <w:t xml:space="preserve">משמע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שחסרון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בחפצה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של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גט</w:t>
      </w:r>
      <w:r w:rsidDel="00000000" w:rsidR="00000000" w:rsidRPr="00000000">
        <w:rPr>
          <w:color w:val="ff0000"/>
          <w:rtl w:val="1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ותחזיר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דמעורה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מעורה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התקבלי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והתקבלי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כתובתיך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דיהיב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הגט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בתורת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פרעון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דנותן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גופו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לכתובתה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פורח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באויר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וכקושייה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התקבלי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גיטיך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ומחלי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כתובתיך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ושיגרש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ושיתננו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ושיתננו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ושיתננו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בתורת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גירושין</w:t>
      </w:r>
      <w:r w:rsidDel="00000000" w:rsidR="00000000" w:rsidRPr="00000000">
        <w:rPr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Is the Problem with the Get a problem with it as an object, or with the maaseh netinah? Or with the context of the netinah? </w:t>
      </w: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